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A5B" w:rsidRDefault="00B3229B">
      <w:pPr>
        <w:autoSpaceDE w:val="0"/>
        <w:autoSpaceDN w:val="0"/>
        <w:spacing w:before="54"/>
        <w:jc w:val="left"/>
        <w:outlineLvl w:val="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B20A5B" w:rsidRDefault="00B3229B">
      <w:pPr>
        <w:autoSpaceDE w:val="0"/>
        <w:autoSpaceDN w:val="0"/>
        <w:spacing w:before="130"/>
        <w:ind w:left="1963"/>
        <w:jc w:val="left"/>
        <w:rPr>
          <w:rFonts w:ascii="黑体" w:eastAsia="黑体" w:hAnsi="仿宋" w:cs="仿宋"/>
          <w:b/>
          <w:kern w:val="0"/>
          <w:sz w:val="32"/>
          <w:szCs w:val="22"/>
        </w:rPr>
      </w:pPr>
      <w:r>
        <w:rPr>
          <w:rFonts w:ascii="黑体" w:eastAsia="黑体" w:hAnsi="仿宋" w:cs="仿宋" w:hint="eastAsia"/>
          <w:b/>
          <w:kern w:val="0"/>
          <w:sz w:val="32"/>
          <w:szCs w:val="22"/>
        </w:rPr>
        <w:t>广东省优秀质量管理小组活动命名办法说明</w:t>
      </w:r>
    </w:p>
    <w:p w:rsidR="00B20A5B" w:rsidRDefault="00B20A5B">
      <w:pPr>
        <w:autoSpaceDE w:val="0"/>
        <w:autoSpaceDN w:val="0"/>
        <w:jc w:val="left"/>
        <w:rPr>
          <w:rFonts w:ascii="黑体" w:eastAsia="仿宋" w:hAnsi="仿宋" w:cs="仿宋"/>
          <w:b/>
          <w:sz w:val="20"/>
          <w:szCs w:val="32"/>
        </w:rPr>
      </w:pPr>
    </w:p>
    <w:p w:rsidR="00B20A5B" w:rsidRDefault="00B20A5B">
      <w:pPr>
        <w:autoSpaceDE w:val="0"/>
        <w:autoSpaceDN w:val="0"/>
        <w:spacing w:before="11"/>
        <w:jc w:val="left"/>
        <w:rPr>
          <w:rFonts w:ascii="黑体" w:eastAsia="仿宋" w:hAnsi="仿宋" w:cs="仿宋"/>
          <w:b/>
          <w:sz w:val="16"/>
          <w:szCs w:val="32"/>
        </w:rPr>
      </w:pPr>
    </w:p>
    <w:p w:rsidR="00B20A5B" w:rsidRDefault="00B3229B">
      <w:pPr>
        <w:autoSpaceDE w:val="0"/>
        <w:autoSpaceDN w:val="0"/>
        <w:spacing w:before="54" w:line="364" w:lineRule="auto"/>
        <w:ind w:right="463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为做好广东省第四十</w:t>
      </w:r>
      <w:r>
        <w:rPr>
          <w:rFonts w:ascii="仿宋" w:eastAsia="仿宋" w:hAnsi="仿宋" w:cs="仿宋" w:hint="eastAsia"/>
          <w:sz w:val="32"/>
          <w:szCs w:val="32"/>
        </w:rPr>
        <w:t>三</w:t>
      </w:r>
      <w:r>
        <w:rPr>
          <w:rFonts w:ascii="仿宋" w:eastAsia="仿宋" w:hAnsi="仿宋" w:cs="仿宋"/>
          <w:sz w:val="32"/>
          <w:szCs w:val="32"/>
        </w:rPr>
        <w:t>次质量管理小组代表大会成果发表会筹备工作，现将20</w:t>
      </w:r>
      <w:r>
        <w:rPr>
          <w:rFonts w:ascii="仿宋" w:eastAsia="仿宋" w:hAnsi="仿宋" w:cs="仿宋" w:hint="eastAsia"/>
          <w:sz w:val="32"/>
          <w:szCs w:val="32"/>
        </w:rPr>
        <w:t>23</w:t>
      </w:r>
      <w:r>
        <w:rPr>
          <w:rFonts w:ascii="仿宋" w:eastAsia="仿宋" w:hAnsi="仿宋" w:cs="仿宋"/>
          <w:sz w:val="32"/>
          <w:szCs w:val="32"/>
        </w:rPr>
        <w:t>年优秀质量管理小组活动命名办法说明如下：</w:t>
      </w:r>
    </w:p>
    <w:p w:rsidR="00B20A5B" w:rsidRDefault="00B3229B">
      <w:pPr>
        <w:autoSpaceDE w:val="0"/>
        <w:autoSpaceDN w:val="0"/>
        <w:spacing w:before="149"/>
        <w:ind w:left="915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仿宋" w:cs="仿宋" w:hint="eastAsia"/>
          <w:sz w:val="32"/>
          <w:szCs w:val="32"/>
        </w:rPr>
        <w:t>一、省优秀QC小组的产生原则，坚持优中选优、高标准、严要求</w:t>
      </w:r>
    </w:p>
    <w:p w:rsidR="00B20A5B" w:rsidRDefault="00B3229B">
      <w:pPr>
        <w:autoSpaceDE w:val="0"/>
        <w:autoSpaceDN w:val="0"/>
        <w:spacing w:before="54" w:line="364" w:lineRule="auto"/>
        <w:ind w:right="463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（一）省优秀QC小组由各市质协、省行业协会，中小企业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（含专精特新）</w:t>
      </w:r>
      <w:r>
        <w:rPr>
          <w:rFonts w:ascii="仿宋" w:eastAsia="仿宋" w:hAnsi="仿宋" w:cs="仿宋" w:hint="eastAsia"/>
          <w:sz w:val="32"/>
          <w:szCs w:val="32"/>
        </w:rPr>
        <w:t>专场和广东质协会员单位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按粤质协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字[2000]02 号文“关于重新印发《广东省优秀质量管理小组评审管理办法》等文件的通知”要求，经择优推荐，于6月19日前将成果材</w:t>
      </w:r>
      <w:r>
        <w:rPr>
          <w:rFonts w:ascii="仿宋" w:eastAsia="仿宋" w:hAnsi="仿宋" w:cs="仿宋"/>
          <w:sz w:val="32"/>
          <w:szCs w:val="32"/>
        </w:rPr>
        <w:t>料报送广东质</w:t>
      </w:r>
      <w:proofErr w:type="gramStart"/>
      <w:r>
        <w:rPr>
          <w:rFonts w:ascii="仿宋" w:eastAsia="仿宋" w:hAnsi="仿宋" w:cs="仿宋"/>
          <w:sz w:val="32"/>
          <w:szCs w:val="32"/>
        </w:rPr>
        <w:t>协现</w:t>
      </w:r>
      <w:proofErr w:type="gramEnd"/>
      <w:r>
        <w:rPr>
          <w:rFonts w:ascii="仿宋" w:eastAsia="仿宋" w:hAnsi="仿宋" w:cs="仿宋"/>
          <w:sz w:val="32"/>
          <w:szCs w:val="32"/>
        </w:rPr>
        <w:t>场工作部，</w:t>
      </w:r>
      <w:proofErr w:type="gramStart"/>
      <w:r>
        <w:rPr>
          <w:rFonts w:ascii="仿宋" w:eastAsia="仿宋" w:hAnsi="仿宋" w:cs="仿宋"/>
          <w:sz w:val="32"/>
          <w:szCs w:val="32"/>
        </w:rPr>
        <w:t>由省指</w:t>
      </w:r>
      <w:proofErr w:type="gramEnd"/>
      <w:r>
        <w:rPr>
          <w:rFonts w:ascii="仿宋" w:eastAsia="仿宋" w:hAnsi="仿宋" w:cs="仿宋"/>
          <w:sz w:val="32"/>
          <w:szCs w:val="32"/>
        </w:rPr>
        <w:t>委会审定后确认。</w:t>
      </w:r>
    </w:p>
    <w:p w:rsidR="00B20A5B" w:rsidRDefault="00B3229B">
      <w:pPr>
        <w:tabs>
          <w:tab w:val="left" w:pos="1413"/>
        </w:tabs>
        <w:autoSpaceDE w:val="0"/>
        <w:autoSpaceDN w:val="0"/>
        <w:spacing w:before="6" w:line="312" w:lineRule="auto"/>
        <w:ind w:right="463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22"/>
        </w:rPr>
        <w:t>（二）</w:t>
      </w:r>
      <w:r>
        <w:rPr>
          <w:rFonts w:ascii="仿宋" w:eastAsia="仿宋" w:hAnsi="仿宋" w:cs="仿宋"/>
          <w:sz w:val="32"/>
          <w:szCs w:val="22"/>
        </w:rPr>
        <w:t>在各市质协、省行业协会，中小企业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（含专精特新）</w:t>
      </w:r>
      <w:r>
        <w:rPr>
          <w:rFonts w:ascii="仿宋" w:eastAsia="仿宋" w:hAnsi="仿宋" w:cs="仿宋"/>
          <w:sz w:val="32"/>
          <w:szCs w:val="22"/>
        </w:rPr>
        <w:t>专场和广东质协会员单位推荐的省优QC小组中，按参赛名额选拔小组参加南粤</w:t>
      </w:r>
      <w:proofErr w:type="gramStart"/>
      <w:r>
        <w:rPr>
          <w:rFonts w:ascii="仿宋" w:eastAsia="仿宋" w:hAnsi="仿宋" w:cs="仿宋"/>
          <w:sz w:val="32"/>
          <w:szCs w:val="22"/>
        </w:rPr>
        <w:t>之星杯</w:t>
      </w:r>
      <w:r>
        <w:rPr>
          <w:rFonts w:ascii="仿宋" w:eastAsia="仿宋" w:hAnsi="仿宋" w:cs="仿宋" w:hint="eastAsia"/>
          <w:sz w:val="32"/>
          <w:szCs w:val="22"/>
        </w:rPr>
        <w:t>发表</w:t>
      </w:r>
      <w:proofErr w:type="gramEnd"/>
      <w:r>
        <w:rPr>
          <w:rFonts w:ascii="仿宋" w:eastAsia="仿宋" w:hAnsi="仿宋" w:cs="仿宋"/>
          <w:sz w:val="32"/>
          <w:szCs w:val="22"/>
        </w:rPr>
        <w:t>，经国家级QC小组评委对成果材料及</w:t>
      </w:r>
      <w:r>
        <w:rPr>
          <w:rFonts w:ascii="仿宋" w:eastAsia="仿宋" w:hAnsi="仿宋" w:cs="仿宋" w:hint="eastAsia"/>
          <w:sz w:val="32"/>
          <w:szCs w:val="22"/>
        </w:rPr>
        <w:t>现场</w:t>
      </w:r>
      <w:r>
        <w:rPr>
          <w:rFonts w:ascii="仿宋" w:eastAsia="仿宋" w:hAnsi="仿宋" w:cs="仿宋"/>
          <w:sz w:val="32"/>
          <w:szCs w:val="22"/>
        </w:rPr>
        <w:t>发表分别进行评价打分后，在各个成果</w:t>
      </w:r>
      <w:proofErr w:type="gramStart"/>
      <w:r>
        <w:rPr>
          <w:rFonts w:ascii="仿宋" w:eastAsia="仿宋" w:hAnsi="仿宋" w:cs="仿宋"/>
          <w:sz w:val="32"/>
          <w:szCs w:val="22"/>
        </w:rPr>
        <w:t>发表</w:t>
      </w:r>
      <w:proofErr w:type="gramEnd"/>
      <w:r>
        <w:rPr>
          <w:rFonts w:ascii="仿宋" w:eastAsia="仿宋" w:hAnsi="仿宋" w:cs="仿宋"/>
          <w:sz w:val="32"/>
          <w:szCs w:val="22"/>
        </w:rPr>
        <w:t>分会场中产生一等奖“南粤之星金钻奖QC小组”、二等奖“南粤之星金奖QC小组”和三等奖“南粤之星银奖</w:t>
      </w:r>
      <w:r>
        <w:rPr>
          <w:rFonts w:ascii="仿宋" w:eastAsia="仿宋" w:hAnsi="仿宋" w:cs="仿宋"/>
          <w:sz w:val="32"/>
          <w:szCs w:val="32"/>
        </w:rPr>
        <w:t>QC小组”。</w:t>
      </w:r>
    </w:p>
    <w:p w:rsidR="00B20A5B" w:rsidRDefault="00B3229B">
      <w:pPr>
        <w:tabs>
          <w:tab w:val="left" w:pos="1415"/>
        </w:tabs>
        <w:autoSpaceDE w:val="0"/>
        <w:autoSpaceDN w:val="0"/>
        <w:spacing w:before="125" w:line="312" w:lineRule="auto"/>
        <w:ind w:right="463" w:firstLineChars="200" w:firstLine="640"/>
        <w:rPr>
          <w:rFonts w:ascii="仿宋" w:eastAsia="仿宋" w:hAnsi="仿宋" w:cs="仿宋"/>
          <w:sz w:val="32"/>
          <w:szCs w:val="22"/>
        </w:rPr>
      </w:pPr>
      <w:r>
        <w:rPr>
          <w:rFonts w:ascii="仿宋" w:eastAsia="仿宋" w:hAnsi="仿宋" w:cs="仿宋" w:hint="eastAsia"/>
          <w:sz w:val="32"/>
          <w:szCs w:val="22"/>
        </w:rPr>
        <w:t>（三）</w:t>
      </w:r>
      <w:r>
        <w:rPr>
          <w:rFonts w:ascii="仿宋" w:eastAsia="仿宋" w:hAnsi="仿宋" w:cs="仿宋"/>
          <w:sz w:val="32"/>
          <w:szCs w:val="22"/>
        </w:rPr>
        <w:t>全国优秀QC小组推荐名单从“南粤之星金钻奖QC小组”中</w:t>
      </w:r>
      <w:r>
        <w:rPr>
          <w:rFonts w:ascii="仿宋" w:eastAsia="仿宋" w:hAnsi="仿宋" w:cs="仿宋" w:hint="eastAsia"/>
          <w:sz w:val="32"/>
          <w:szCs w:val="22"/>
        </w:rPr>
        <w:t>差额</w:t>
      </w:r>
      <w:r>
        <w:rPr>
          <w:rFonts w:ascii="仿宋" w:eastAsia="仿宋" w:hAnsi="仿宋" w:cs="仿宋"/>
          <w:sz w:val="32"/>
          <w:szCs w:val="22"/>
        </w:rPr>
        <w:t>产生，由主办单位聘请广东省QC小组活动专家对小组活动现场进行确认后，择优推荐到中国质量协会。</w:t>
      </w:r>
    </w:p>
    <w:p w:rsidR="00B20A5B" w:rsidRDefault="00B3229B">
      <w:pPr>
        <w:tabs>
          <w:tab w:val="left" w:pos="1487"/>
        </w:tabs>
        <w:autoSpaceDE w:val="0"/>
        <w:autoSpaceDN w:val="0"/>
        <w:spacing w:before="2" w:line="314" w:lineRule="auto"/>
        <w:ind w:right="463" w:firstLineChars="200" w:firstLine="640"/>
        <w:rPr>
          <w:rFonts w:ascii="仿宋" w:eastAsia="仿宋" w:hAnsi="仿宋" w:cs="仿宋"/>
          <w:sz w:val="32"/>
          <w:szCs w:val="22"/>
        </w:rPr>
      </w:pPr>
      <w:r>
        <w:rPr>
          <w:rFonts w:ascii="仿宋" w:eastAsia="仿宋" w:hAnsi="仿宋" w:cs="仿宋" w:hint="eastAsia"/>
          <w:sz w:val="32"/>
          <w:szCs w:val="22"/>
        </w:rPr>
        <w:t>（四）</w:t>
      </w:r>
      <w:r>
        <w:rPr>
          <w:rFonts w:ascii="仿宋" w:eastAsia="仿宋" w:hAnsi="仿宋" w:cs="仿宋"/>
          <w:sz w:val="32"/>
          <w:szCs w:val="22"/>
        </w:rPr>
        <w:t>省QC小组活动优秀企业、优秀领导者、优秀推进者、优秀咨询师,由各市质协、行业协会按文件要求推荐。</w:t>
      </w:r>
    </w:p>
    <w:p w:rsidR="00B20A5B" w:rsidRDefault="00B3229B">
      <w:pPr>
        <w:autoSpaceDE w:val="0"/>
        <w:autoSpaceDN w:val="0"/>
        <w:spacing w:line="404" w:lineRule="exact"/>
        <w:ind w:left="1004"/>
        <w:jc w:val="left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仿宋" w:cs="仿宋" w:hint="eastAsia"/>
          <w:sz w:val="32"/>
          <w:szCs w:val="32"/>
        </w:rPr>
        <w:t>二、省优秀QC小组、南粤之</w:t>
      </w:r>
      <w:proofErr w:type="gramStart"/>
      <w:r>
        <w:rPr>
          <w:rFonts w:ascii="黑体" w:eastAsia="黑体" w:hAnsi="仿宋" w:cs="仿宋" w:hint="eastAsia"/>
          <w:sz w:val="32"/>
          <w:szCs w:val="32"/>
        </w:rPr>
        <w:t>星优秀</w:t>
      </w:r>
      <w:proofErr w:type="gramEnd"/>
      <w:r>
        <w:rPr>
          <w:rFonts w:ascii="黑体" w:eastAsia="黑体" w:hAnsi="仿宋" w:cs="仿宋" w:hint="eastAsia"/>
          <w:sz w:val="32"/>
          <w:szCs w:val="32"/>
        </w:rPr>
        <w:t>QC小组竞选办法和程序</w:t>
      </w:r>
    </w:p>
    <w:p w:rsidR="00B20A5B" w:rsidRDefault="00B3229B">
      <w:pPr>
        <w:tabs>
          <w:tab w:val="left" w:pos="1485"/>
        </w:tabs>
        <w:autoSpaceDE w:val="0"/>
        <w:autoSpaceDN w:val="0"/>
        <w:spacing w:before="125"/>
        <w:ind w:firstLineChars="200" w:firstLine="640"/>
        <w:jc w:val="left"/>
        <w:rPr>
          <w:rFonts w:ascii="仿宋" w:eastAsia="仿宋" w:hAnsi="仿宋" w:cs="仿宋"/>
          <w:sz w:val="32"/>
          <w:szCs w:val="22"/>
        </w:rPr>
      </w:pPr>
      <w:r>
        <w:rPr>
          <w:rFonts w:ascii="仿宋" w:eastAsia="仿宋" w:hAnsi="仿宋" w:cs="仿宋" w:hint="eastAsia"/>
          <w:sz w:val="32"/>
          <w:szCs w:val="22"/>
        </w:rPr>
        <w:lastRenderedPageBreak/>
        <w:t>（一）</w:t>
      </w:r>
      <w:r>
        <w:rPr>
          <w:rFonts w:ascii="仿宋" w:eastAsia="仿宋" w:hAnsi="仿宋" w:cs="仿宋"/>
          <w:sz w:val="32"/>
          <w:szCs w:val="22"/>
        </w:rPr>
        <w:t>现场评分符合条件并达90分以上。</w:t>
      </w:r>
    </w:p>
    <w:p w:rsidR="00B20A5B" w:rsidRDefault="00B3229B">
      <w:pPr>
        <w:tabs>
          <w:tab w:val="left" w:pos="1485"/>
        </w:tabs>
        <w:autoSpaceDE w:val="0"/>
        <w:autoSpaceDN w:val="0"/>
        <w:spacing w:before="123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22"/>
        </w:rPr>
        <w:t>（二）</w:t>
      </w:r>
      <w:r>
        <w:rPr>
          <w:rFonts w:ascii="仿宋" w:eastAsia="仿宋" w:hAnsi="仿宋" w:cs="仿宋"/>
          <w:sz w:val="32"/>
          <w:szCs w:val="22"/>
        </w:rPr>
        <w:t>按成果材料评审和成果发表评审标准进行评价，成果材料</w:t>
      </w:r>
      <w:r>
        <w:rPr>
          <w:rFonts w:ascii="仿宋" w:eastAsia="仿宋" w:hAnsi="仿宋" w:cs="仿宋" w:hint="eastAsia"/>
          <w:sz w:val="32"/>
          <w:szCs w:val="22"/>
        </w:rPr>
        <w:t>必须</w:t>
      </w:r>
      <w:r>
        <w:rPr>
          <w:rFonts w:ascii="仿宋" w:eastAsia="仿宋" w:hAnsi="仿宋" w:cs="仿宋"/>
          <w:sz w:val="32"/>
          <w:szCs w:val="22"/>
        </w:rPr>
        <w:t>符</w:t>
      </w:r>
      <w:r>
        <w:rPr>
          <w:rFonts w:ascii="仿宋" w:eastAsia="仿宋" w:hAnsi="仿宋" w:cs="仿宋"/>
          <w:sz w:val="32"/>
          <w:szCs w:val="32"/>
        </w:rPr>
        <w:t>合《质量管理小组活动准则》（T/CAQ 10201—2020）要求。</w:t>
      </w:r>
    </w:p>
    <w:p w:rsidR="00B20A5B" w:rsidRDefault="00B3229B">
      <w:pPr>
        <w:tabs>
          <w:tab w:val="left" w:pos="1804"/>
        </w:tabs>
        <w:autoSpaceDE w:val="0"/>
        <w:autoSpaceDN w:val="0"/>
        <w:spacing w:before="123" w:line="312" w:lineRule="auto"/>
        <w:ind w:right="444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22"/>
        </w:rPr>
        <w:t>1.</w:t>
      </w:r>
      <w:r>
        <w:rPr>
          <w:rFonts w:ascii="仿宋" w:eastAsia="仿宋" w:hAnsi="仿宋" w:cs="仿宋"/>
          <w:sz w:val="32"/>
          <w:szCs w:val="22"/>
        </w:rPr>
        <w:t>材料评审：按问题解决型课题小组专场和创新型课题小组专场（下同）分别由国家级QC小组活动评委或等同资历的评委进行评审打分，每一份材料不少于</w:t>
      </w:r>
      <w:r>
        <w:rPr>
          <w:rFonts w:ascii="仿宋" w:eastAsia="仿宋" w:hAnsi="仿宋" w:cs="仿宋" w:hint="eastAsia"/>
          <w:sz w:val="32"/>
          <w:szCs w:val="22"/>
        </w:rPr>
        <w:t>5</w:t>
      </w:r>
      <w:r>
        <w:rPr>
          <w:rFonts w:ascii="仿宋" w:eastAsia="仿宋" w:hAnsi="仿宋" w:cs="仿宋"/>
          <w:sz w:val="32"/>
          <w:szCs w:val="22"/>
        </w:rPr>
        <w:t>名评委单独打分，材料分按100分的</w:t>
      </w:r>
      <w:r>
        <w:rPr>
          <w:rFonts w:ascii="仿宋" w:eastAsia="仿宋" w:hAnsi="仿宋" w:cs="仿宋"/>
          <w:sz w:val="32"/>
          <w:szCs w:val="32"/>
        </w:rPr>
        <w:t>60%计算并于发布会现场张贴公布；</w:t>
      </w:r>
    </w:p>
    <w:p w:rsidR="00B20A5B" w:rsidRDefault="00B3229B">
      <w:pPr>
        <w:tabs>
          <w:tab w:val="left" w:pos="1806"/>
        </w:tabs>
        <w:autoSpaceDE w:val="0"/>
        <w:autoSpaceDN w:val="0"/>
        <w:spacing w:before="123" w:line="312" w:lineRule="auto"/>
        <w:ind w:right="462" w:firstLineChars="200" w:firstLine="640"/>
        <w:rPr>
          <w:rFonts w:ascii="仿宋" w:eastAsia="仿宋" w:hAnsi="仿宋" w:cs="仿宋"/>
          <w:sz w:val="32"/>
          <w:szCs w:val="22"/>
        </w:rPr>
      </w:pPr>
      <w:r>
        <w:rPr>
          <w:rFonts w:ascii="仿宋" w:eastAsia="仿宋" w:hAnsi="仿宋" w:cs="仿宋" w:hint="eastAsia"/>
          <w:sz w:val="32"/>
          <w:szCs w:val="22"/>
        </w:rPr>
        <w:t>2.</w:t>
      </w:r>
      <w:r>
        <w:rPr>
          <w:rFonts w:ascii="仿宋" w:eastAsia="仿宋" w:hAnsi="仿宋" w:cs="仿宋"/>
          <w:sz w:val="32"/>
          <w:szCs w:val="22"/>
        </w:rPr>
        <w:t>发表评审：按专场由不少于</w:t>
      </w:r>
      <w:r>
        <w:rPr>
          <w:rFonts w:ascii="仿宋" w:eastAsia="仿宋" w:hAnsi="仿宋" w:cs="仿宋" w:hint="eastAsia"/>
          <w:sz w:val="32"/>
          <w:szCs w:val="22"/>
        </w:rPr>
        <w:t>5</w:t>
      </w:r>
      <w:r>
        <w:rPr>
          <w:rFonts w:ascii="仿宋" w:eastAsia="仿宋" w:hAnsi="仿宋" w:cs="仿宋"/>
          <w:sz w:val="32"/>
          <w:szCs w:val="22"/>
        </w:rPr>
        <w:t>名国家级QC小组评委或等同资历的评委，对本会场的每个成果进行现场发表评审，成果发表完毕后，必要时可作提问，同时当场亮分。</w:t>
      </w:r>
      <w:proofErr w:type="gramStart"/>
      <w:r>
        <w:rPr>
          <w:rFonts w:ascii="仿宋" w:eastAsia="仿宋" w:hAnsi="仿宋" w:cs="仿宋"/>
          <w:sz w:val="32"/>
          <w:szCs w:val="22"/>
        </w:rPr>
        <w:t>发表分</w:t>
      </w:r>
      <w:proofErr w:type="gramEnd"/>
      <w:r>
        <w:rPr>
          <w:rFonts w:ascii="仿宋" w:eastAsia="仿宋" w:hAnsi="仿宋" w:cs="仿宋"/>
          <w:sz w:val="32"/>
          <w:szCs w:val="22"/>
        </w:rPr>
        <w:t>按100分的40%计算；</w:t>
      </w:r>
    </w:p>
    <w:p w:rsidR="00B20A5B" w:rsidRDefault="00B3229B">
      <w:pPr>
        <w:tabs>
          <w:tab w:val="left" w:pos="1804"/>
        </w:tabs>
        <w:autoSpaceDE w:val="0"/>
        <w:autoSpaceDN w:val="0"/>
        <w:spacing w:before="4" w:line="312" w:lineRule="auto"/>
        <w:ind w:right="463" w:firstLineChars="200" w:firstLine="640"/>
        <w:rPr>
          <w:rFonts w:ascii="仿宋" w:eastAsia="仿宋" w:hAnsi="仿宋" w:cs="仿宋"/>
          <w:sz w:val="32"/>
          <w:szCs w:val="22"/>
        </w:rPr>
      </w:pPr>
      <w:r>
        <w:rPr>
          <w:rFonts w:ascii="仿宋" w:eastAsia="仿宋" w:hAnsi="仿宋" w:cs="仿宋" w:hint="eastAsia"/>
          <w:sz w:val="32"/>
          <w:szCs w:val="22"/>
        </w:rPr>
        <w:t>3.</w:t>
      </w:r>
      <w:r>
        <w:rPr>
          <w:rFonts w:ascii="仿宋" w:eastAsia="仿宋" w:hAnsi="仿宋" w:cs="仿宋"/>
          <w:sz w:val="32"/>
          <w:szCs w:val="22"/>
        </w:rPr>
        <w:t>对评委们所打的分数（成果材料评审与发表评审），采取去掉一个最高分，去掉一个最低分后，取平均值乘以系数后相加得总分；</w:t>
      </w:r>
    </w:p>
    <w:p w:rsidR="00B20A5B" w:rsidRDefault="00B3229B">
      <w:pPr>
        <w:tabs>
          <w:tab w:val="left" w:pos="1804"/>
        </w:tabs>
        <w:autoSpaceDE w:val="0"/>
        <w:autoSpaceDN w:val="0"/>
        <w:spacing w:before="4" w:line="312" w:lineRule="auto"/>
        <w:ind w:right="463" w:firstLineChars="200" w:firstLine="640"/>
        <w:rPr>
          <w:rFonts w:ascii="仿宋" w:eastAsia="仿宋" w:hAnsi="仿宋" w:cs="仿宋"/>
          <w:sz w:val="32"/>
          <w:szCs w:val="22"/>
        </w:rPr>
      </w:pPr>
      <w:r>
        <w:rPr>
          <w:rFonts w:ascii="仿宋" w:eastAsia="仿宋" w:hAnsi="仿宋" w:cs="仿宋" w:hint="eastAsia"/>
          <w:sz w:val="32"/>
          <w:szCs w:val="22"/>
        </w:rPr>
        <w:t>4.</w:t>
      </w:r>
      <w:r>
        <w:rPr>
          <w:rFonts w:ascii="仿宋" w:eastAsia="仿宋" w:hAnsi="仿宋" w:cs="仿宋"/>
          <w:sz w:val="32"/>
          <w:szCs w:val="22"/>
        </w:rPr>
        <w:t>本会场成果全部发表完后，由评审组长</w:t>
      </w:r>
      <w:r>
        <w:rPr>
          <w:rFonts w:ascii="仿宋" w:eastAsia="仿宋" w:hAnsi="仿宋" w:cs="仿宋" w:hint="eastAsia"/>
          <w:sz w:val="32"/>
          <w:szCs w:val="22"/>
        </w:rPr>
        <w:t>或会务组工作人员</w:t>
      </w:r>
      <w:r>
        <w:rPr>
          <w:rFonts w:ascii="仿宋" w:eastAsia="仿宋" w:hAnsi="仿宋" w:cs="仿宋"/>
          <w:sz w:val="32"/>
          <w:szCs w:val="22"/>
        </w:rPr>
        <w:t>宣读本会场各成果总分；</w:t>
      </w:r>
    </w:p>
    <w:p w:rsidR="00B20A5B" w:rsidRDefault="00B3229B">
      <w:pPr>
        <w:tabs>
          <w:tab w:val="left" w:pos="1804"/>
        </w:tabs>
        <w:autoSpaceDE w:val="0"/>
        <w:autoSpaceDN w:val="0"/>
        <w:spacing w:before="2" w:line="312" w:lineRule="auto"/>
        <w:ind w:right="463" w:firstLineChars="200" w:firstLine="640"/>
        <w:rPr>
          <w:rFonts w:ascii="仿宋" w:eastAsia="仿宋" w:hAnsi="仿宋" w:cs="仿宋"/>
          <w:sz w:val="32"/>
          <w:szCs w:val="22"/>
        </w:rPr>
      </w:pPr>
      <w:r>
        <w:rPr>
          <w:rFonts w:ascii="仿宋" w:eastAsia="仿宋" w:hAnsi="仿宋" w:cs="仿宋" w:hint="eastAsia"/>
          <w:sz w:val="32"/>
          <w:szCs w:val="22"/>
        </w:rPr>
        <w:t>5.</w:t>
      </w:r>
      <w:r>
        <w:rPr>
          <w:rFonts w:ascii="仿宋" w:eastAsia="仿宋" w:hAnsi="仿宋" w:cs="仿宋"/>
          <w:sz w:val="32"/>
          <w:szCs w:val="22"/>
        </w:rPr>
        <w:t>分会场的发表顺序</w:t>
      </w:r>
      <w:r>
        <w:rPr>
          <w:rFonts w:ascii="仿宋" w:eastAsia="仿宋" w:hAnsi="仿宋" w:cs="仿宋" w:hint="eastAsia"/>
          <w:sz w:val="32"/>
          <w:szCs w:val="22"/>
        </w:rPr>
        <w:t>需在报到当天在</w:t>
      </w:r>
      <w:r>
        <w:rPr>
          <w:rFonts w:ascii="仿宋" w:eastAsia="仿宋" w:hAnsi="仿宋" w:cs="仿宋"/>
          <w:sz w:val="32"/>
          <w:szCs w:val="22"/>
        </w:rPr>
        <w:t>会务</w:t>
      </w:r>
      <w:r>
        <w:rPr>
          <w:rFonts w:ascii="仿宋" w:eastAsia="仿宋" w:hAnsi="仿宋" w:cs="仿宋" w:hint="eastAsia"/>
          <w:sz w:val="32"/>
          <w:szCs w:val="22"/>
        </w:rPr>
        <w:t>处</w:t>
      </w:r>
      <w:r>
        <w:rPr>
          <w:rFonts w:ascii="仿宋" w:eastAsia="仿宋" w:hAnsi="仿宋" w:cs="仿宋"/>
          <w:sz w:val="32"/>
          <w:szCs w:val="22"/>
        </w:rPr>
        <w:t>抽签所得，</w:t>
      </w:r>
      <w:r>
        <w:rPr>
          <w:rFonts w:ascii="仿宋" w:eastAsia="仿宋" w:hAnsi="仿宋" w:cs="仿宋" w:hint="eastAsia"/>
          <w:sz w:val="32"/>
          <w:szCs w:val="22"/>
        </w:rPr>
        <w:t>发表时</w:t>
      </w:r>
      <w:r>
        <w:rPr>
          <w:rFonts w:ascii="仿宋" w:eastAsia="仿宋" w:hAnsi="仿宋" w:cs="仿宋"/>
          <w:sz w:val="32"/>
          <w:szCs w:val="22"/>
        </w:rPr>
        <w:t>如轮到发表而没到场者，</w:t>
      </w:r>
      <w:r>
        <w:rPr>
          <w:rFonts w:ascii="仿宋" w:eastAsia="仿宋" w:hAnsi="仿宋" w:cs="仿宋" w:hint="eastAsia"/>
          <w:sz w:val="32"/>
          <w:szCs w:val="22"/>
        </w:rPr>
        <w:t>则</w:t>
      </w:r>
      <w:r>
        <w:rPr>
          <w:rFonts w:ascii="仿宋" w:eastAsia="仿宋" w:hAnsi="仿宋" w:cs="仿宋"/>
          <w:sz w:val="32"/>
          <w:szCs w:val="22"/>
        </w:rPr>
        <w:t>排在最后发表，并</w:t>
      </w:r>
      <w:proofErr w:type="gramStart"/>
      <w:r>
        <w:rPr>
          <w:rFonts w:ascii="仿宋" w:eastAsia="仿宋" w:hAnsi="仿宋" w:cs="仿宋"/>
          <w:sz w:val="32"/>
          <w:szCs w:val="22"/>
        </w:rPr>
        <w:t>扣发表</w:t>
      </w:r>
      <w:proofErr w:type="gramEnd"/>
      <w:r>
        <w:rPr>
          <w:rFonts w:ascii="仿宋" w:eastAsia="仿宋" w:hAnsi="仿宋" w:cs="仿宋"/>
          <w:sz w:val="32"/>
          <w:szCs w:val="22"/>
        </w:rPr>
        <w:t>总分3分；</w:t>
      </w:r>
    </w:p>
    <w:p w:rsidR="00B20A5B" w:rsidRDefault="00B3229B">
      <w:pPr>
        <w:tabs>
          <w:tab w:val="left" w:pos="1804"/>
        </w:tabs>
        <w:autoSpaceDE w:val="0"/>
        <w:autoSpaceDN w:val="0"/>
        <w:spacing w:before="2" w:line="312" w:lineRule="auto"/>
        <w:ind w:right="302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22"/>
        </w:rPr>
        <w:t>6.</w:t>
      </w:r>
      <w:r>
        <w:rPr>
          <w:rFonts w:ascii="仿宋" w:eastAsia="仿宋" w:hAnsi="仿宋" w:cs="仿宋"/>
          <w:sz w:val="32"/>
          <w:szCs w:val="22"/>
        </w:rPr>
        <w:t>分会场发表分上、下午两节，每节由组长点名，点名不到、迟到、早退者</w:t>
      </w:r>
      <w:proofErr w:type="gramStart"/>
      <w:r>
        <w:rPr>
          <w:rFonts w:ascii="仿宋" w:eastAsia="仿宋" w:hAnsi="仿宋" w:cs="仿宋"/>
          <w:sz w:val="32"/>
          <w:szCs w:val="22"/>
        </w:rPr>
        <w:t>扣发表</w:t>
      </w:r>
      <w:proofErr w:type="gramEnd"/>
      <w:r>
        <w:rPr>
          <w:rFonts w:ascii="仿宋" w:eastAsia="仿宋" w:hAnsi="仿宋" w:cs="仿宋"/>
          <w:sz w:val="32"/>
          <w:szCs w:val="22"/>
        </w:rPr>
        <w:t>总分1分（以每次计算）；</w:t>
      </w:r>
    </w:p>
    <w:p w:rsidR="00B20A5B" w:rsidRDefault="00B3229B">
      <w:pPr>
        <w:tabs>
          <w:tab w:val="left" w:pos="1804"/>
        </w:tabs>
        <w:autoSpaceDE w:val="0"/>
        <w:autoSpaceDN w:val="0"/>
        <w:spacing w:before="2" w:line="312" w:lineRule="auto"/>
        <w:ind w:right="302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22"/>
        </w:rPr>
        <w:t>7.</w:t>
      </w:r>
      <w:r>
        <w:rPr>
          <w:rFonts w:ascii="仿宋" w:eastAsia="仿宋" w:hAnsi="仿宋" w:cs="仿宋"/>
          <w:sz w:val="32"/>
          <w:szCs w:val="22"/>
        </w:rPr>
        <w:t>发表时间为15分钟，每超过1分钟</w:t>
      </w:r>
      <w:proofErr w:type="gramStart"/>
      <w:r>
        <w:rPr>
          <w:rFonts w:ascii="仿宋" w:eastAsia="仿宋" w:hAnsi="仿宋" w:cs="仿宋"/>
          <w:sz w:val="32"/>
          <w:szCs w:val="22"/>
        </w:rPr>
        <w:t>扣发表</w:t>
      </w:r>
      <w:proofErr w:type="gramEnd"/>
      <w:r>
        <w:rPr>
          <w:rFonts w:ascii="仿宋" w:eastAsia="仿宋" w:hAnsi="仿宋" w:cs="仿宋"/>
          <w:sz w:val="32"/>
          <w:szCs w:val="22"/>
        </w:rPr>
        <w:t>总分1分,不足</w:t>
      </w:r>
      <w:r>
        <w:rPr>
          <w:rFonts w:ascii="仿宋" w:eastAsia="仿宋" w:hAnsi="仿宋" w:cs="仿宋"/>
          <w:sz w:val="32"/>
          <w:szCs w:val="32"/>
        </w:rPr>
        <w:t>1分钟的情况以1分钟计算；</w:t>
      </w:r>
    </w:p>
    <w:p w:rsidR="00B20A5B" w:rsidRPr="00894151" w:rsidRDefault="00B3229B" w:rsidP="00894151">
      <w:pPr>
        <w:tabs>
          <w:tab w:val="left" w:pos="1804"/>
        </w:tabs>
        <w:autoSpaceDE w:val="0"/>
        <w:autoSpaceDN w:val="0"/>
        <w:spacing w:before="125"/>
        <w:ind w:firstLineChars="200" w:firstLine="640"/>
        <w:jc w:val="left"/>
      </w:pPr>
      <w:r>
        <w:rPr>
          <w:rFonts w:ascii="仿宋" w:eastAsia="仿宋" w:hAnsi="仿宋" w:cs="仿宋" w:hint="eastAsia"/>
          <w:sz w:val="32"/>
          <w:szCs w:val="22"/>
        </w:rPr>
        <w:t>8.</w:t>
      </w:r>
      <w:r>
        <w:rPr>
          <w:rFonts w:ascii="仿宋" w:eastAsia="仿宋" w:hAnsi="仿宋" w:cs="仿宋"/>
          <w:sz w:val="32"/>
          <w:szCs w:val="22"/>
        </w:rPr>
        <w:t>要求用普通话发表</w:t>
      </w:r>
      <w:r>
        <w:rPr>
          <w:rFonts w:ascii="仿宋" w:eastAsia="仿宋" w:hAnsi="仿宋" w:cs="仿宋" w:hint="eastAsia"/>
          <w:sz w:val="32"/>
          <w:szCs w:val="22"/>
        </w:rPr>
        <w:t>，着装整齐</w:t>
      </w:r>
      <w:r>
        <w:rPr>
          <w:rFonts w:ascii="仿宋" w:eastAsia="仿宋" w:hAnsi="仿宋" w:cs="仿宋"/>
          <w:sz w:val="32"/>
          <w:szCs w:val="22"/>
        </w:rPr>
        <w:t>。</w:t>
      </w:r>
      <w:bookmarkStart w:id="0" w:name="_GoBack"/>
      <w:bookmarkEnd w:id="0"/>
    </w:p>
    <w:sectPr w:rsidR="00B20A5B" w:rsidRPr="00894151" w:rsidSect="00894151">
      <w:footerReference w:type="default" r:id="rId7"/>
      <w:pgSz w:w="11910" w:h="16840"/>
      <w:pgMar w:top="1580" w:right="840" w:bottom="1180" w:left="94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611" w:rsidRDefault="00031611">
      <w:r>
        <w:separator/>
      </w:r>
    </w:p>
  </w:endnote>
  <w:endnote w:type="continuationSeparator" w:id="0">
    <w:p w:rsidR="00031611" w:rsidRDefault="0003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B8EFAA0-E4C8-411C-95E0-99885C86F1A8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charset w:val="86"/>
    <w:family w:val="auto"/>
    <w:pitch w:val="default"/>
    <w:sig w:usb0="00000001" w:usb1="080E0000" w:usb2="00000000" w:usb3="00000000" w:csb0="00040000" w:csb1="00000000"/>
    <w:embedRegular r:id="rId2" w:subsetted="1" w:fontKey="{0B567B00-AF34-4776-8FDA-D1767A191D24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50A0994B-0384-4AD3-817D-816A8CE812D6}"/>
    <w:embedBold r:id="rId4" w:subsetted="1" w:fontKey="{23009E41-AF2C-461B-8081-C28E00872B7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BCA56784-91A4-4658-9C13-E6861BC8C45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A5B" w:rsidRDefault="00B3229B">
    <w:pPr>
      <w:autoSpaceDE w:val="0"/>
      <w:autoSpaceDN w:val="0"/>
      <w:spacing w:line="14" w:lineRule="auto"/>
      <w:jc w:val="left"/>
      <w:rPr>
        <w:rFonts w:ascii="仿宋" w:eastAsia="仿宋" w:hAnsi="仿宋" w:cs="仿宋"/>
        <w:sz w:val="20"/>
        <w:szCs w:val="32"/>
        <w:lang w:eastAsia="en-US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A5B" w:rsidRDefault="00B3229B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4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20A5B" w:rsidRDefault="00B3229B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611" w:rsidRDefault="00031611">
      <w:r>
        <w:separator/>
      </w:r>
    </w:p>
  </w:footnote>
  <w:footnote w:type="continuationSeparator" w:id="0">
    <w:p w:rsidR="00031611" w:rsidRDefault="00031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2Q5MTMwZDNhZmEwOGM4ZTg4M2Y4M2ZhMjc0YWFkZWIifQ=="/>
  </w:docVars>
  <w:rsids>
    <w:rsidRoot w:val="7465469A"/>
    <w:rsid w:val="00031611"/>
    <w:rsid w:val="00076142"/>
    <w:rsid w:val="00894151"/>
    <w:rsid w:val="00A30A4C"/>
    <w:rsid w:val="00B20A5B"/>
    <w:rsid w:val="00B3229B"/>
    <w:rsid w:val="13135720"/>
    <w:rsid w:val="2A5E32CD"/>
    <w:rsid w:val="6DDB5FB0"/>
    <w:rsid w:val="6E124568"/>
    <w:rsid w:val="7465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65EEF"/>
  <w15:docId w15:val="{8CF26B31-F979-4B7B-80C6-66BA1D68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qFormat/>
    <w:pPr>
      <w:widowControl/>
      <w:spacing w:before="120" w:after="240"/>
      <w:ind w:firstLineChars="200" w:firstLine="420"/>
    </w:pPr>
    <w:rPr>
      <w:rFonts w:ascii="Calibri" w:eastAsia="宋体" w:hAnsi="Calibri" w:cs="Times New Roman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马少佳</dc:creator>
  <cp:lastModifiedBy>Administrator</cp:lastModifiedBy>
  <cp:revision>3</cp:revision>
  <cp:lastPrinted>2023-04-11T01:25:00Z</cp:lastPrinted>
  <dcterms:created xsi:type="dcterms:W3CDTF">2023-04-11T04:10:00Z</dcterms:created>
  <dcterms:modified xsi:type="dcterms:W3CDTF">2023-04-11T04:18:00Z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D63BE6BEE8D24C15A927825ADC811B27</vt:lpwstr>
  </property>
</Properties>
</file>