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0B75E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color w:val="auto"/>
          <w:sz w:val="32"/>
          <w:szCs w:val="32"/>
          <w:lang w:val="en-US" w:eastAsia="zh-CN"/>
        </w:rPr>
      </w:pPr>
      <w:bookmarkStart w:id="0" w:name="_GoBack"/>
      <w:bookmarkEnd w:id="0"/>
      <w:r>
        <w:rPr>
          <w:rFonts w:hint="default" w:ascii="Times New Roman" w:hAnsi="Times New Roman" w:eastAsia="仿宋_GB2312" w:cs="Times New Roman"/>
          <w:b w:val="0"/>
          <w:bCs/>
          <w:color w:val="auto"/>
          <w:sz w:val="32"/>
          <w:szCs w:val="32"/>
          <w:lang w:val="en-US" w:eastAsia="zh-CN"/>
        </w:rPr>
        <w:t>附件</w:t>
      </w:r>
      <w:r>
        <w:rPr>
          <w:rFonts w:hint="eastAsia" w:ascii="Times New Roman" w:hAnsi="Times New Roman" w:eastAsia="仿宋_GB2312" w:cs="Times New Roman"/>
          <w:b w:val="0"/>
          <w:bCs/>
          <w:color w:val="auto"/>
          <w:sz w:val="32"/>
          <w:szCs w:val="32"/>
          <w:lang w:val="en-US" w:eastAsia="zh-CN"/>
        </w:rPr>
        <w:t>3</w:t>
      </w:r>
      <w:r>
        <w:rPr>
          <w:rFonts w:hint="default" w:ascii="Times New Roman" w:hAnsi="Times New Roman" w:eastAsia="仿宋_GB2312" w:cs="Times New Roman"/>
          <w:b w:val="0"/>
          <w:bCs/>
          <w:color w:val="auto"/>
          <w:sz w:val="32"/>
          <w:szCs w:val="32"/>
          <w:lang w:val="en-US" w:eastAsia="zh-CN"/>
        </w:rPr>
        <w:t>：</w:t>
      </w:r>
    </w:p>
    <w:p w14:paraId="7B10366B">
      <w:pPr>
        <w:keepNext w:val="0"/>
        <w:keepLines w:val="0"/>
        <w:pageBreakBefore w:val="0"/>
        <w:widowControl w:val="0"/>
        <w:tabs>
          <w:tab w:val="left" w:pos="1565"/>
          <w:tab w:val="left" w:pos="4010"/>
          <w:tab w:val="left" w:pos="5795"/>
          <w:tab w:val="left" w:pos="7595"/>
        </w:tabs>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rPr>
        <w:t>广东省质量协会质量技术奖管理办法</w:t>
      </w:r>
    </w:p>
    <w:p w14:paraId="3A618B4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sz w:val="32"/>
          <w:szCs w:val="32"/>
          <w:highlight w:val="none"/>
        </w:rPr>
      </w:pPr>
    </w:p>
    <w:p w14:paraId="112FAF6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第一章 总则</w:t>
      </w:r>
    </w:p>
    <w:p w14:paraId="5D7C515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第一条</w:t>
      </w:r>
      <w:r>
        <w:rPr>
          <w:rFonts w:hint="default" w:ascii="Times New Roman" w:hAnsi="Times New Roman" w:eastAsia="仿宋_GB2312" w:cs="Times New Roman"/>
          <w:color w:val="auto"/>
          <w:sz w:val="32"/>
          <w:szCs w:val="32"/>
          <w:highlight w:val="none"/>
        </w:rPr>
        <w:t xml:space="preserve"> 为促进和推动我省质量技术领域科技创新，推动行业高质量发展，根据《社会力量设立科学技术奖管理办法》（国科发奖〔2023〕11号）、《广东省科学技术厅关于印发社会力量设立科学技术奖管理办法的通知》（粤科规范字〔2024〕7号）等有关文件精神，特设立“广东省质量协会质量技术奖”（以下简称“本奖项”）。为规范开展评审工作，特制定本管理办法。</w:t>
      </w:r>
    </w:p>
    <w:p w14:paraId="79ECD60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第二条</w:t>
      </w:r>
      <w:r>
        <w:rPr>
          <w:rFonts w:hint="default" w:ascii="Times New Roman" w:hAnsi="Times New Roman" w:eastAsia="仿宋_GB2312" w:cs="Times New Roman"/>
          <w:color w:val="auto"/>
          <w:sz w:val="32"/>
          <w:szCs w:val="32"/>
          <w:highlight w:val="none"/>
        </w:rPr>
        <w:t xml:space="preserve"> 本奖项报送广东省科学技术厅登记备案，并接受广东省科学技术厅的指导和监督。</w:t>
      </w:r>
    </w:p>
    <w:p w14:paraId="1C934D1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第三条</w:t>
      </w:r>
      <w:r>
        <w:rPr>
          <w:rFonts w:hint="default" w:ascii="Times New Roman" w:hAnsi="Times New Roman" w:eastAsia="仿宋_GB2312" w:cs="Times New Roman"/>
          <w:color w:val="auto"/>
          <w:sz w:val="32"/>
          <w:szCs w:val="32"/>
          <w:highlight w:val="none"/>
        </w:rPr>
        <w:t xml:space="preserve"> 本奖项是面向质量管控水平、创新能力和质量竞争能力提升的</w:t>
      </w:r>
      <w:r>
        <w:rPr>
          <w:rFonts w:hint="default" w:ascii="Times New Roman" w:hAnsi="Times New Roman" w:eastAsia="仿宋_GB2312" w:cs="Times New Roman"/>
          <w:color w:val="auto"/>
          <w:sz w:val="32"/>
          <w:szCs w:val="32"/>
          <w:highlight w:val="none"/>
          <w:lang w:val="en-US" w:eastAsia="zh-CN"/>
        </w:rPr>
        <w:t>科学</w:t>
      </w:r>
      <w:r>
        <w:rPr>
          <w:rFonts w:hint="default" w:ascii="Times New Roman" w:hAnsi="Times New Roman" w:eastAsia="仿宋_GB2312" w:cs="Times New Roman"/>
          <w:color w:val="auto"/>
          <w:sz w:val="32"/>
          <w:szCs w:val="32"/>
          <w:highlight w:val="none"/>
        </w:rPr>
        <w:t>技术领域的学术性、荣誉性奖励，不与人才评价、项目评审等直接挂钩。</w:t>
      </w:r>
    </w:p>
    <w:p w14:paraId="2A34394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第四条</w:t>
      </w:r>
      <w:r>
        <w:rPr>
          <w:rFonts w:hint="default" w:ascii="Times New Roman" w:hAnsi="Times New Roman" w:eastAsia="仿宋_GB2312" w:cs="Times New Roman"/>
          <w:color w:val="auto"/>
          <w:sz w:val="32"/>
          <w:szCs w:val="32"/>
          <w:highlight w:val="none"/>
        </w:rPr>
        <w:t xml:space="preserve"> 为维护</w:t>
      </w:r>
      <w:r>
        <w:rPr>
          <w:rFonts w:hint="default" w:ascii="Times New Roman" w:hAnsi="Times New Roman" w:eastAsia="仿宋_GB2312" w:cs="Times New Roman"/>
          <w:color w:val="auto"/>
          <w:sz w:val="32"/>
          <w:szCs w:val="32"/>
          <w:highlight w:val="none"/>
          <w:lang w:val="en-US" w:eastAsia="zh-CN"/>
        </w:rPr>
        <w:t>本奖项</w:t>
      </w:r>
      <w:r>
        <w:rPr>
          <w:rFonts w:hint="default" w:ascii="Times New Roman" w:hAnsi="Times New Roman" w:eastAsia="仿宋_GB2312" w:cs="Times New Roman"/>
          <w:color w:val="auto"/>
          <w:sz w:val="32"/>
          <w:szCs w:val="32"/>
          <w:highlight w:val="none"/>
        </w:rPr>
        <w:t>的严肃性和权威性，</w:t>
      </w:r>
      <w:r>
        <w:rPr>
          <w:rFonts w:hint="default" w:ascii="Times New Roman" w:hAnsi="Times New Roman" w:eastAsia="仿宋_GB2312" w:cs="Times New Roman"/>
          <w:color w:val="auto"/>
          <w:sz w:val="32"/>
          <w:szCs w:val="32"/>
          <w:highlight w:val="none"/>
          <w:lang w:val="en-US" w:eastAsia="zh-CN"/>
        </w:rPr>
        <w:t>本奖项</w:t>
      </w:r>
      <w:r>
        <w:rPr>
          <w:rFonts w:hint="default" w:ascii="Times New Roman" w:hAnsi="Times New Roman" w:eastAsia="仿宋_GB2312" w:cs="Times New Roman"/>
          <w:color w:val="auto"/>
          <w:sz w:val="32"/>
          <w:szCs w:val="32"/>
          <w:highlight w:val="none"/>
        </w:rPr>
        <w:t>评审工作遵循公开、公平、公正的原则，不受任何组织或个人非法干预。</w:t>
      </w:r>
    </w:p>
    <w:p w14:paraId="7FC9CBF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第五条</w:t>
      </w:r>
      <w:r>
        <w:rPr>
          <w:rFonts w:hint="default" w:ascii="Times New Roman" w:hAnsi="Times New Roman" w:eastAsia="仿宋_GB2312" w:cs="Times New Roman"/>
          <w:color w:val="auto"/>
          <w:sz w:val="32"/>
          <w:szCs w:val="32"/>
          <w:highlight w:val="none"/>
        </w:rPr>
        <w:t xml:space="preserve"> 本奖项</w:t>
      </w:r>
      <w:r>
        <w:rPr>
          <w:rFonts w:hint="eastAsia" w:ascii="Times New Roman" w:hAnsi="Times New Roman" w:eastAsia="仿宋_GB2312" w:cs="Times New Roman"/>
          <w:color w:val="auto"/>
          <w:sz w:val="32"/>
          <w:szCs w:val="32"/>
          <w:highlight w:val="none"/>
        </w:rPr>
        <w:t>遵循</w:t>
      </w:r>
      <w:r>
        <w:rPr>
          <w:rFonts w:hint="default" w:ascii="Times New Roman" w:hAnsi="Times New Roman" w:eastAsia="仿宋_GB2312" w:cs="Times New Roman"/>
          <w:color w:val="auto"/>
          <w:sz w:val="32"/>
          <w:szCs w:val="32"/>
          <w:highlight w:val="none"/>
        </w:rPr>
        <w:t>尊重知识、尊重人才的方针。遵守国家法律法规，遵守国家质量技术政策和人才政策。</w:t>
      </w:r>
    </w:p>
    <w:p w14:paraId="5B21CC3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p>
    <w:p w14:paraId="398A81A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第二章 组织机构</w:t>
      </w:r>
    </w:p>
    <w:p w14:paraId="37ED9FD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第六条</w:t>
      </w:r>
      <w:r>
        <w:rPr>
          <w:rFonts w:hint="default" w:ascii="Times New Roman" w:hAnsi="Times New Roman" w:eastAsia="仿宋_GB2312" w:cs="Times New Roman"/>
          <w:color w:val="auto"/>
          <w:sz w:val="32"/>
          <w:szCs w:val="32"/>
          <w:highlight w:val="none"/>
        </w:rPr>
        <w:t xml:space="preserve"> 广东省质量协会质量技术奖委员会（以下简称“委员会”）是本奖项的评审奖励管理机构，下设由权威专家组成的广东省质量协会质量技术奖评审委员会（以下简称“评委会”）和广东省质量协会质量技术奖奖励工作办公室（以下简称“办公室”）。</w:t>
      </w:r>
    </w:p>
    <w:p w14:paraId="51E3F37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sz w:val="32"/>
          <w:szCs w:val="32"/>
          <w:highlight w:val="none"/>
        </w:rPr>
        <w:t>（一）委员会</w:t>
      </w:r>
    </w:p>
    <w:p w14:paraId="61AB574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1.负责本奖项的宏观统筹、组织、协调</w:t>
      </w:r>
      <w:r>
        <w:rPr>
          <w:rFonts w:hint="eastAsia" w:ascii="Times New Roman" w:hAnsi="Times New Roman" w:eastAsia="仿宋_GB2312" w:cs="Times New Roman"/>
          <w:color w:val="auto"/>
          <w:sz w:val="32"/>
          <w:szCs w:val="32"/>
          <w:highlight w:val="none"/>
          <w:lang w:eastAsia="zh-CN"/>
        </w:rPr>
        <w:t>和</w:t>
      </w:r>
      <w:r>
        <w:rPr>
          <w:rFonts w:hint="default" w:ascii="Times New Roman" w:hAnsi="Times New Roman" w:eastAsia="仿宋_GB2312" w:cs="Times New Roman"/>
          <w:color w:val="auto"/>
          <w:sz w:val="32"/>
          <w:szCs w:val="32"/>
          <w:highlight w:val="none"/>
        </w:rPr>
        <w:t>管理工作；</w:t>
      </w:r>
    </w:p>
    <w:p w14:paraId="5AABF85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2.研究、决定奖励和评审工作中的重大问题和事项；</w:t>
      </w:r>
    </w:p>
    <w:p w14:paraId="07B268A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3.负责研究、组织</w:t>
      </w:r>
      <w:r>
        <w:rPr>
          <w:rFonts w:hint="eastAsia" w:ascii="Times New Roman" w:hAnsi="Times New Roman" w:eastAsia="仿宋_GB2312" w:cs="Times New Roman"/>
          <w:color w:val="auto"/>
          <w:sz w:val="32"/>
          <w:szCs w:val="32"/>
          <w:highlight w:val="none"/>
          <w:lang w:eastAsia="zh-CN"/>
        </w:rPr>
        <w:t>和</w:t>
      </w:r>
      <w:r>
        <w:rPr>
          <w:rFonts w:hint="default" w:ascii="Times New Roman" w:hAnsi="Times New Roman" w:eastAsia="仿宋_GB2312" w:cs="Times New Roman"/>
          <w:color w:val="auto"/>
          <w:sz w:val="32"/>
          <w:szCs w:val="32"/>
          <w:highlight w:val="none"/>
        </w:rPr>
        <w:t>遴选评委会与专家组成员人选；</w:t>
      </w:r>
    </w:p>
    <w:p w14:paraId="46E83D7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4.审定批准本奖项评审实施细则和评委会评审结果。</w:t>
      </w:r>
    </w:p>
    <w:p w14:paraId="2BB9023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sz w:val="32"/>
          <w:szCs w:val="32"/>
          <w:highlight w:val="none"/>
        </w:rPr>
        <w:t>（二）评委会</w:t>
      </w:r>
    </w:p>
    <w:p w14:paraId="24AC16A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1.负责本奖项</w:t>
      </w:r>
      <w:r>
        <w:rPr>
          <w:rFonts w:hint="eastAsia" w:ascii="Times New Roman" w:hAnsi="Times New Roman" w:eastAsia="仿宋_GB2312" w:cs="Times New Roman"/>
          <w:color w:val="auto"/>
          <w:sz w:val="32"/>
          <w:szCs w:val="32"/>
          <w:highlight w:val="none"/>
          <w:lang w:eastAsia="zh-CN"/>
        </w:rPr>
        <w:t>的评审</w:t>
      </w:r>
      <w:r>
        <w:rPr>
          <w:rFonts w:hint="default" w:ascii="Times New Roman" w:hAnsi="Times New Roman" w:eastAsia="仿宋_GB2312" w:cs="Times New Roman"/>
          <w:color w:val="auto"/>
          <w:sz w:val="32"/>
          <w:szCs w:val="32"/>
          <w:highlight w:val="none"/>
        </w:rPr>
        <w:t>，提出拟授奖候选名单及等级建议；</w:t>
      </w:r>
    </w:p>
    <w:p w14:paraId="5305101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2.对评审工作中出现的有关问题进行研究处理，为完善质量技术奖</w:t>
      </w:r>
      <w:r>
        <w:rPr>
          <w:rFonts w:hint="eastAsia" w:ascii="Times New Roman" w:hAnsi="Times New Roman" w:eastAsia="仿宋_GB2312" w:cs="Times New Roman"/>
          <w:color w:val="auto"/>
          <w:sz w:val="32"/>
          <w:szCs w:val="32"/>
          <w:highlight w:val="none"/>
          <w:lang w:eastAsia="zh-CN"/>
        </w:rPr>
        <w:t>的评审</w:t>
      </w:r>
      <w:r>
        <w:rPr>
          <w:rFonts w:hint="default" w:ascii="Times New Roman" w:hAnsi="Times New Roman" w:eastAsia="仿宋_GB2312" w:cs="Times New Roman"/>
          <w:color w:val="auto"/>
          <w:sz w:val="32"/>
          <w:szCs w:val="32"/>
          <w:highlight w:val="none"/>
        </w:rPr>
        <w:t>工作提供建设性意见；</w:t>
      </w:r>
    </w:p>
    <w:p w14:paraId="085763C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3.可根据实际需要组建专家评审组或者委托第三方专业评价机构组织专家对通过形式审查的候选项目依据本办法进行评价；</w:t>
      </w:r>
    </w:p>
    <w:p w14:paraId="4ADFA99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4</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专家组本着公开公平公正的原则，依法依规开展奖励</w:t>
      </w:r>
      <w:r>
        <w:rPr>
          <w:rFonts w:hint="eastAsia" w:ascii="Times New Roman" w:hAnsi="Times New Roman" w:eastAsia="仿宋_GB2312" w:cs="Times New Roman"/>
          <w:color w:val="auto"/>
          <w:sz w:val="32"/>
          <w:szCs w:val="32"/>
          <w:highlight w:val="none"/>
          <w:lang w:eastAsia="zh-CN"/>
        </w:rPr>
        <w:t>的评审</w:t>
      </w:r>
      <w:r>
        <w:rPr>
          <w:rFonts w:hint="default" w:ascii="Times New Roman" w:hAnsi="Times New Roman" w:eastAsia="仿宋_GB2312" w:cs="Times New Roman"/>
          <w:color w:val="auto"/>
          <w:sz w:val="32"/>
          <w:szCs w:val="32"/>
          <w:highlight w:val="none"/>
        </w:rPr>
        <w:t>工作，并对评审结论负责。</w:t>
      </w:r>
    </w:p>
    <w:p w14:paraId="4906400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sz w:val="32"/>
          <w:szCs w:val="32"/>
          <w:highlight w:val="none"/>
        </w:rPr>
        <w:t>（三）办公室</w:t>
      </w:r>
    </w:p>
    <w:p w14:paraId="32C7437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办公室是本奖项的日常办事机构，设在广东省质量协会秘书处。</w:t>
      </w:r>
    </w:p>
    <w:p w14:paraId="54EFFFA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1.负责研究提出本奖项奖励</w:t>
      </w:r>
      <w:r>
        <w:rPr>
          <w:rFonts w:hint="default" w:ascii="Times New Roman" w:hAnsi="Times New Roman" w:eastAsia="仿宋_GB2312" w:cs="Times New Roman"/>
          <w:color w:val="auto"/>
          <w:sz w:val="32"/>
          <w:szCs w:val="32"/>
          <w:highlight w:val="none"/>
          <w:lang w:val="en-US" w:eastAsia="zh-CN"/>
        </w:rPr>
        <w:t>管理</w:t>
      </w:r>
      <w:r>
        <w:rPr>
          <w:rFonts w:hint="default" w:ascii="Times New Roman" w:hAnsi="Times New Roman" w:eastAsia="仿宋_GB2312" w:cs="Times New Roman"/>
          <w:color w:val="auto"/>
          <w:sz w:val="32"/>
          <w:szCs w:val="32"/>
          <w:highlight w:val="none"/>
        </w:rPr>
        <w:t>办法</w:t>
      </w:r>
      <w:r>
        <w:rPr>
          <w:rFonts w:hint="eastAsia" w:ascii="Times New Roman" w:hAnsi="Times New Roman" w:eastAsia="仿宋_GB2312" w:cs="Times New Roman"/>
          <w:color w:val="auto"/>
          <w:sz w:val="32"/>
          <w:szCs w:val="32"/>
          <w:highlight w:val="none"/>
          <w:lang w:eastAsia="zh-CN"/>
        </w:rPr>
        <w:t>的制</w:t>
      </w:r>
      <w:r>
        <w:rPr>
          <w:rFonts w:hint="default" w:ascii="Times New Roman" w:hAnsi="Times New Roman" w:eastAsia="仿宋_GB2312" w:cs="Times New Roman"/>
          <w:color w:val="auto"/>
          <w:sz w:val="32"/>
          <w:szCs w:val="32"/>
          <w:highlight w:val="none"/>
        </w:rPr>
        <w:t>（修）订草案，报委员会审定；</w:t>
      </w:r>
    </w:p>
    <w:p w14:paraId="52BDC41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2.负责研究提出评委会与专家组成员人选建议，报委员会审定；</w:t>
      </w:r>
    </w:p>
    <w:p w14:paraId="1D07B5A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3.负责对接省科学技术行政部门。</w:t>
      </w:r>
    </w:p>
    <w:p w14:paraId="6B1D814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第七条</w:t>
      </w:r>
      <w:r>
        <w:rPr>
          <w:rFonts w:hint="default" w:ascii="Times New Roman" w:hAnsi="Times New Roman" w:eastAsia="仿宋_GB2312" w:cs="Times New Roman"/>
          <w:color w:val="auto"/>
          <w:sz w:val="32"/>
          <w:szCs w:val="32"/>
          <w:highlight w:val="none"/>
        </w:rPr>
        <w:t xml:space="preserve"> 评委会架构及专家要求</w:t>
      </w:r>
    </w:p>
    <w:p w14:paraId="20B09FF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sz w:val="32"/>
          <w:szCs w:val="32"/>
          <w:highlight w:val="none"/>
        </w:rPr>
        <w:t>（一）评委会架构</w:t>
      </w:r>
    </w:p>
    <w:p w14:paraId="5922069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eastAsia="zh-CN"/>
        </w:rPr>
        <w:t>本奖项的评委会由</w:t>
      </w:r>
      <w:r>
        <w:rPr>
          <w:rFonts w:hint="default" w:ascii="Times New Roman" w:hAnsi="Times New Roman" w:eastAsia="仿宋_GB2312" w:cs="Times New Roman"/>
          <w:color w:val="auto"/>
          <w:sz w:val="32"/>
          <w:szCs w:val="32"/>
          <w:highlight w:val="none"/>
        </w:rPr>
        <w:t>各相关行业权威专家、学者组成，设主任委员1人、副主任委员2—3人、委员若干（且为奇数）。可根据评审工作的需要设立若干专业评审组。</w:t>
      </w:r>
    </w:p>
    <w:p w14:paraId="0F7CEBE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sz w:val="32"/>
          <w:szCs w:val="32"/>
          <w:highlight w:val="none"/>
        </w:rPr>
        <w:t>（二）专家要求</w:t>
      </w:r>
    </w:p>
    <w:p w14:paraId="219D482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lang w:val="en-US" w:eastAsia="zh-CN"/>
        </w:rPr>
        <w:t>广东省质量协会学术委员会委员，</w:t>
      </w:r>
      <w:r>
        <w:rPr>
          <w:rFonts w:hint="default" w:ascii="Times New Roman" w:hAnsi="Times New Roman" w:eastAsia="仿宋_GB2312" w:cs="Times New Roman"/>
          <w:color w:val="auto"/>
          <w:sz w:val="32"/>
          <w:szCs w:val="32"/>
          <w:highlight w:val="none"/>
        </w:rPr>
        <w:t>具有副高级及以上技术职称或同等专业水平，长期从事科研、教学、管理或生产经营工作，熟悉本专业国内外现状和发展方向；</w:t>
      </w:r>
    </w:p>
    <w:p w14:paraId="41B73A1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2.热心质量管理和科技奖励工作，正确掌握评审标准；</w:t>
      </w:r>
    </w:p>
    <w:p w14:paraId="49BEFCE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3.遵纪守法，具有良好的道德素养和职业操守。</w:t>
      </w:r>
    </w:p>
    <w:p w14:paraId="5C0EBFF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p>
    <w:p w14:paraId="675F05C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第三章 奖项设置</w:t>
      </w:r>
    </w:p>
    <w:p w14:paraId="6ABA943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第八条</w:t>
      </w:r>
      <w:r>
        <w:rPr>
          <w:rFonts w:hint="default" w:ascii="Times New Roman" w:hAnsi="Times New Roman" w:eastAsia="仿宋_GB2312" w:cs="Times New Roman"/>
          <w:color w:val="auto"/>
          <w:sz w:val="32"/>
          <w:szCs w:val="32"/>
          <w:highlight w:val="none"/>
        </w:rPr>
        <w:t xml:space="preserve"> 奖项设置</w:t>
      </w:r>
    </w:p>
    <w:p w14:paraId="1BD349D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广东省质量协会</w:t>
      </w:r>
      <w:r>
        <w:rPr>
          <w:rFonts w:hint="eastAsia" w:ascii="Times New Roman" w:hAnsi="Times New Roman" w:eastAsia="仿宋_GB2312" w:cs="Times New Roman"/>
          <w:color w:val="auto"/>
          <w:sz w:val="32"/>
          <w:szCs w:val="32"/>
          <w:highlight w:val="none"/>
          <w:lang w:val="en-US" w:eastAsia="zh-CN"/>
        </w:rPr>
        <w:t>质量技术奖</w:t>
      </w:r>
      <w:r>
        <w:rPr>
          <w:rFonts w:hint="default" w:ascii="Times New Roman" w:hAnsi="Times New Roman" w:eastAsia="仿宋_GB2312" w:cs="Times New Roman"/>
          <w:color w:val="auto"/>
          <w:sz w:val="32"/>
          <w:szCs w:val="32"/>
          <w:highlight w:val="none"/>
        </w:rPr>
        <w:t>，分为两个类别，分别为综合类（分设一等奖、二等奖、三等奖）和个人类（分设杰出质量人、质量工匠、青年质量人才），用于表彰在质量技术研究、开发、应用等科学技术领域取得重大质量技术成果、成果推广及杰出质量人才。</w:t>
      </w:r>
    </w:p>
    <w:p w14:paraId="22B52F7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第九条</w:t>
      </w:r>
      <w:r>
        <w:rPr>
          <w:rFonts w:hint="default" w:ascii="Times New Roman" w:hAnsi="Times New Roman" w:eastAsia="仿宋_GB2312" w:cs="Times New Roman"/>
          <w:color w:val="auto"/>
          <w:sz w:val="32"/>
          <w:szCs w:val="32"/>
          <w:highlight w:val="none"/>
        </w:rPr>
        <w:t xml:space="preserve"> 奖励范围、对象与授奖数量</w:t>
      </w:r>
    </w:p>
    <w:p w14:paraId="0CF08D3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本奖项授予在从事质量技术研究、开发应用和推广等质量技术领域取得下列成果的广东省内机构或个人，对应各奖项类别如下：</w:t>
      </w:r>
    </w:p>
    <w:p w14:paraId="550BC61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sz w:val="32"/>
          <w:szCs w:val="32"/>
          <w:highlight w:val="none"/>
        </w:rPr>
        <w:t>（一）质量技术奖（综合类）</w:t>
      </w:r>
    </w:p>
    <w:p w14:paraId="4DE1EFD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1.奖励范围与对象</w:t>
      </w:r>
    </w:p>
    <w:p w14:paraId="5B8788E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面向广东省内从事质量技术研究、开发、应用和推广的组织或团队，覆盖质量技术的基础研究、技术开发、技术发明、应用推广及社会</w:t>
      </w:r>
      <w:r>
        <w:rPr>
          <w:rFonts w:hint="eastAsia" w:ascii="Times New Roman" w:hAnsi="Times New Roman" w:eastAsia="仿宋_GB2312" w:cs="Times New Roman"/>
          <w:color w:val="auto"/>
          <w:sz w:val="32"/>
          <w:szCs w:val="32"/>
          <w:highlight w:val="none"/>
          <w:lang w:eastAsia="zh-CN"/>
        </w:rPr>
        <w:t>公益性</w:t>
      </w:r>
      <w:r>
        <w:rPr>
          <w:rFonts w:hint="default" w:ascii="Times New Roman" w:hAnsi="Times New Roman" w:eastAsia="仿宋_GB2312" w:cs="Times New Roman"/>
          <w:color w:val="auto"/>
          <w:sz w:val="32"/>
          <w:szCs w:val="32"/>
          <w:highlight w:val="none"/>
        </w:rPr>
        <w:t>成果，确保奖励的广泛性和包容性。</w:t>
      </w:r>
    </w:p>
    <w:p w14:paraId="4B82EB1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2.等级与授奖数量</w:t>
      </w:r>
    </w:p>
    <w:p w14:paraId="23A3489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根据申报项目的技术复杂和创新水平、对质量技术进步的推动作用及其经济效益和社会效益综合判定获奖等级。</w:t>
      </w:r>
      <w:r>
        <w:rPr>
          <w:rFonts w:hint="default" w:ascii="Times New Roman" w:hAnsi="Times New Roman" w:eastAsia="仿宋_GB2312" w:cs="Times New Roman"/>
          <w:color w:val="auto"/>
          <w:sz w:val="32"/>
          <w:szCs w:val="32"/>
          <w:highlight w:val="none"/>
        </w:rPr>
        <w:t>授奖数量以当年申报数量为基数，按以下比例确定各等级奖项数量：</w:t>
      </w:r>
    </w:p>
    <w:p w14:paraId="499B0E1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（1）一等奖授奖数量不超过该奖项申报数量的10%；</w:t>
      </w:r>
    </w:p>
    <w:p w14:paraId="2B42D19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（2）二等奖授奖数量不超过该奖项申报数量的30%；</w:t>
      </w:r>
    </w:p>
    <w:p w14:paraId="60C758F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（3）三等奖授奖数量不超过该奖项申报数量的40%。</w:t>
      </w:r>
    </w:p>
    <w:p w14:paraId="464A4D1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3.各等级奖项具体数量按四舍五入取整，可根据评审质量动态调整，允许部分奖项空缺</w:t>
      </w:r>
      <w:r>
        <w:rPr>
          <w:rFonts w:hint="default" w:ascii="Times New Roman" w:hAnsi="Times New Roman" w:eastAsia="仿宋_GB2312" w:cs="Times New Roman"/>
          <w:color w:val="auto"/>
          <w:sz w:val="32"/>
          <w:szCs w:val="32"/>
          <w:highlight w:val="none"/>
          <w:lang w:eastAsia="zh-CN"/>
        </w:rPr>
        <w:t>。</w:t>
      </w:r>
    </w:p>
    <w:p w14:paraId="006CCC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注：同一成果不得跨类别、跨年度重复申报。</w:t>
      </w:r>
    </w:p>
    <w:p w14:paraId="60C1F53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sz w:val="32"/>
          <w:szCs w:val="32"/>
          <w:highlight w:val="none"/>
        </w:rPr>
        <w:t>（二）质量技术奖（个人类）</w:t>
      </w:r>
    </w:p>
    <w:p w14:paraId="61D4809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1.奖励范围与对象</w:t>
      </w:r>
    </w:p>
    <w:p w14:paraId="55F6D2C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eastAsia="zh-CN"/>
        </w:rPr>
        <w:t>本奖项针对</w:t>
      </w:r>
      <w:r>
        <w:rPr>
          <w:rFonts w:hint="default" w:ascii="Times New Roman" w:hAnsi="Times New Roman" w:eastAsia="仿宋_GB2312" w:cs="Times New Roman"/>
          <w:color w:val="auto"/>
          <w:sz w:val="32"/>
          <w:szCs w:val="32"/>
          <w:highlight w:val="none"/>
        </w:rPr>
        <w:t>组织、参与质量</w:t>
      </w:r>
      <w:r>
        <w:rPr>
          <w:rFonts w:hint="eastAsia" w:ascii="Times New Roman" w:hAnsi="Times New Roman" w:eastAsia="仿宋_GB2312" w:cs="Times New Roman"/>
          <w:color w:val="auto"/>
          <w:sz w:val="32"/>
          <w:szCs w:val="32"/>
          <w:highlight w:val="none"/>
          <w:lang w:eastAsia="zh-CN"/>
        </w:rPr>
        <w:t>技术</w:t>
      </w:r>
      <w:r>
        <w:rPr>
          <w:rFonts w:hint="default" w:ascii="Times New Roman" w:hAnsi="Times New Roman" w:eastAsia="仿宋_GB2312" w:cs="Times New Roman"/>
          <w:color w:val="auto"/>
          <w:sz w:val="32"/>
          <w:szCs w:val="32"/>
          <w:highlight w:val="none"/>
        </w:rPr>
        <w:t>开展和改进创新工作的个人，旨在鼓励在各项细分</w:t>
      </w:r>
      <w:r>
        <w:rPr>
          <w:rFonts w:hint="eastAsia" w:ascii="Times New Roman" w:hAnsi="Times New Roman" w:eastAsia="仿宋_GB2312" w:cs="Times New Roman"/>
          <w:color w:val="auto"/>
          <w:sz w:val="32"/>
          <w:szCs w:val="32"/>
          <w:highlight w:val="none"/>
          <w:lang w:eastAsia="zh-CN"/>
        </w:rPr>
        <w:t>领域</w:t>
      </w:r>
      <w:r>
        <w:rPr>
          <w:rFonts w:hint="default" w:ascii="Times New Roman" w:hAnsi="Times New Roman" w:eastAsia="仿宋_GB2312" w:cs="Times New Roman"/>
          <w:color w:val="auto"/>
          <w:sz w:val="32"/>
          <w:szCs w:val="32"/>
          <w:highlight w:val="none"/>
        </w:rPr>
        <w:t>深入研究和实践的各类型质量人才。</w:t>
      </w:r>
    </w:p>
    <w:p w14:paraId="229CAF6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2.等级与授奖数量</w:t>
      </w:r>
    </w:p>
    <w:p w14:paraId="6C804C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授奖数量以当年申报数量为基数，按以下比例确定各等级奖项数量：</w:t>
      </w:r>
    </w:p>
    <w:p w14:paraId="7CAE04B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杰出质量人</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授奖数量不超过</w:t>
      </w:r>
      <w:r>
        <w:rPr>
          <w:rFonts w:hint="default" w:ascii="Times New Roman" w:hAnsi="Times New Roman" w:eastAsia="仿宋_GB2312" w:cs="Times New Roman"/>
          <w:color w:val="auto"/>
          <w:sz w:val="32"/>
          <w:szCs w:val="32"/>
          <w:highlight w:val="none"/>
          <w:lang w:val="en-US" w:eastAsia="zh-CN"/>
        </w:rPr>
        <w:t>10名</w:t>
      </w:r>
      <w:r>
        <w:rPr>
          <w:rFonts w:hint="default" w:ascii="Times New Roman" w:hAnsi="Times New Roman" w:eastAsia="仿宋_GB2312" w:cs="Times New Roman"/>
          <w:color w:val="auto"/>
          <w:sz w:val="32"/>
          <w:szCs w:val="32"/>
          <w:highlight w:val="none"/>
        </w:rPr>
        <w:t>；</w:t>
      </w:r>
    </w:p>
    <w:p w14:paraId="757A9F5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质量工匠</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授奖数量不超过</w:t>
      </w:r>
      <w:r>
        <w:rPr>
          <w:rFonts w:hint="default" w:ascii="Times New Roman" w:hAnsi="Times New Roman" w:eastAsia="仿宋_GB2312" w:cs="Times New Roman"/>
          <w:color w:val="auto"/>
          <w:sz w:val="32"/>
          <w:szCs w:val="32"/>
          <w:highlight w:val="none"/>
          <w:lang w:val="en-US" w:eastAsia="zh-CN"/>
        </w:rPr>
        <w:t>20名</w:t>
      </w:r>
      <w:r>
        <w:rPr>
          <w:rFonts w:hint="default" w:ascii="Times New Roman" w:hAnsi="Times New Roman" w:eastAsia="仿宋_GB2312" w:cs="Times New Roman"/>
          <w:color w:val="auto"/>
          <w:sz w:val="32"/>
          <w:szCs w:val="32"/>
          <w:highlight w:val="none"/>
        </w:rPr>
        <w:t>；</w:t>
      </w:r>
    </w:p>
    <w:p w14:paraId="75D106D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i/>
          <w:iCs/>
          <w:color w:val="auto"/>
          <w:sz w:val="32"/>
          <w:szCs w:val="32"/>
          <w:highlight w:val="none"/>
          <w:lang w:eastAsia="zh-CN"/>
        </w:rPr>
      </w:pPr>
      <w:r>
        <w:rPr>
          <w:rFonts w:hint="default" w:ascii="Times New Roman" w:hAnsi="Times New Roman" w:eastAsia="仿宋_GB2312" w:cs="Times New Roman"/>
          <w:color w:val="auto"/>
          <w:sz w:val="32"/>
          <w:szCs w:val="32"/>
          <w:highlight w:val="none"/>
        </w:rPr>
        <w:t>（3）</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青年质量人才</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授奖数量不超过</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lang w:val="en-US" w:eastAsia="zh-CN"/>
        </w:rPr>
        <w:t>0名</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要求</w:t>
      </w:r>
      <w:r>
        <w:rPr>
          <w:rFonts w:hint="default" w:ascii="Times New Roman" w:hAnsi="Times New Roman" w:eastAsia="仿宋_GB2312" w:cs="Times New Roman"/>
          <w:color w:val="auto"/>
          <w:sz w:val="32"/>
          <w:szCs w:val="32"/>
          <w:highlight w:val="none"/>
        </w:rPr>
        <w:t>授予年龄在45周岁以下（以申报截止日期为界），在质量技术领域取得突出创新性成果，展现出巨大发展潜力的青年</w:t>
      </w:r>
      <w:r>
        <w:rPr>
          <w:rFonts w:hint="default" w:ascii="Times New Roman" w:hAnsi="Times New Roman" w:eastAsia="仿宋_GB2312" w:cs="Times New Roman"/>
          <w:color w:val="auto"/>
          <w:sz w:val="32"/>
          <w:szCs w:val="32"/>
          <w:highlight w:val="none"/>
          <w:lang w:val="en-US" w:eastAsia="zh-CN"/>
        </w:rPr>
        <w:t>质量</w:t>
      </w:r>
      <w:r>
        <w:rPr>
          <w:rFonts w:hint="default" w:ascii="Times New Roman" w:hAnsi="Times New Roman" w:eastAsia="仿宋_GB2312" w:cs="Times New Roman"/>
          <w:color w:val="auto"/>
          <w:sz w:val="32"/>
          <w:szCs w:val="32"/>
          <w:highlight w:val="none"/>
        </w:rPr>
        <w:t>工作者。申请人须为申报成果的第一完成人，且为广东省内机构的人员或个人。</w:t>
      </w:r>
    </w:p>
    <w:p w14:paraId="7BC629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i w:val="0"/>
          <w:iCs w:val="0"/>
          <w:color w:val="auto"/>
          <w:sz w:val="32"/>
          <w:szCs w:val="32"/>
          <w:highlight w:val="none"/>
          <w:lang w:eastAsia="zh-CN"/>
        </w:rPr>
      </w:pPr>
      <w:r>
        <w:rPr>
          <w:rFonts w:hint="eastAsia" w:ascii="Times New Roman" w:hAnsi="Times New Roman" w:eastAsia="仿宋_GB2312" w:cs="Times New Roman"/>
          <w:i w:val="0"/>
          <w:iCs w:val="0"/>
          <w:color w:val="auto"/>
          <w:sz w:val="32"/>
          <w:szCs w:val="32"/>
          <w:highlight w:val="none"/>
          <w:lang w:eastAsia="zh-CN"/>
        </w:rPr>
        <w:t>3.各</w:t>
      </w:r>
      <w:r>
        <w:rPr>
          <w:rFonts w:hint="eastAsia" w:ascii="Times New Roman" w:hAnsi="Times New Roman" w:eastAsia="仿宋_GB2312" w:cs="Times New Roman"/>
          <w:i w:val="0"/>
          <w:iCs w:val="0"/>
          <w:color w:val="auto"/>
          <w:sz w:val="32"/>
          <w:szCs w:val="32"/>
          <w:highlight w:val="none"/>
          <w:lang w:val="en-US" w:eastAsia="zh-CN"/>
        </w:rPr>
        <w:t>级别</w:t>
      </w:r>
      <w:r>
        <w:rPr>
          <w:rFonts w:hint="eastAsia" w:ascii="Times New Roman" w:hAnsi="Times New Roman" w:eastAsia="仿宋_GB2312" w:cs="Times New Roman"/>
          <w:i w:val="0"/>
          <w:iCs w:val="0"/>
          <w:color w:val="auto"/>
          <w:sz w:val="32"/>
          <w:szCs w:val="32"/>
          <w:highlight w:val="none"/>
          <w:lang w:eastAsia="zh-CN"/>
        </w:rPr>
        <w:t>奖项具体数量可根据评审质量动态调整，允许部分奖项空缺。</w:t>
      </w:r>
    </w:p>
    <w:p w14:paraId="149471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i w:val="0"/>
          <w:iCs w:val="0"/>
          <w:color w:val="auto"/>
          <w:sz w:val="32"/>
          <w:szCs w:val="32"/>
          <w:highlight w:val="none"/>
          <w:lang w:eastAsia="zh-CN"/>
        </w:rPr>
      </w:pPr>
      <w:r>
        <w:rPr>
          <w:rFonts w:hint="eastAsia" w:ascii="Times New Roman" w:hAnsi="Times New Roman" w:eastAsia="仿宋_GB2312" w:cs="Times New Roman"/>
          <w:i w:val="0"/>
          <w:iCs w:val="0"/>
          <w:color w:val="auto"/>
          <w:sz w:val="32"/>
          <w:szCs w:val="32"/>
          <w:highlight w:val="none"/>
          <w:lang w:eastAsia="zh-CN"/>
        </w:rPr>
        <w:t>注：同一</w:t>
      </w:r>
      <w:r>
        <w:rPr>
          <w:rFonts w:hint="eastAsia" w:ascii="Times New Roman" w:hAnsi="Times New Roman" w:eastAsia="仿宋_GB2312" w:cs="Times New Roman"/>
          <w:i w:val="0"/>
          <w:iCs w:val="0"/>
          <w:color w:val="auto"/>
          <w:sz w:val="32"/>
          <w:szCs w:val="32"/>
          <w:highlight w:val="none"/>
          <w:lang w:val="en-US" w:eastAsia="zh-CN"/>
        </w:rPr>
        <w:t>申报主体</w:t>
      </w:r>
      <w:r>
        <w:rPr>
          <w:rFonts w:hint="eastAsia" w:ascii="Times New Roman" w:hAnsi="Times New Roman" w:eastAsia="仿宋_GB2312" w:cs="Times New Roman"/>
          <w:i w:val="0"/>
          <w:iCs w:val="0"/>
          <w:color w:val="auto"/>
          <w:sz w:val="32"/>
          <w:szCs w:val="32"/>
          <w:highlight w:val="none"/>
          <w:lang w:eastAsia="zh-CN"/>
        </w:rPr>
        <w:t>不得跨</w:t>
      </w:r>
      <w:r>
        <w:rPr>
          <w:rFonts w:hint="eastAsia" w:ascii="Times New Roman" w:hAnsi="Times New Roman" w:eastAsia="仿宋_GB2312" w:cs="Times New Roman"/>
          <w:i w:val="0"/>
          <w:iCs w:val="0"/>
          <w:color w:val="auto"/>
          <w:sz w:val="32"/>
          <w:szCs w:val="32"/>
          <w:highlight w:val="none"/>
          <w:lang w:val="en-US" w:eastAsia="zh-CN"/>
        </w:rPr>
        <w:t>级</w:t>
      </w:r>
      <w:r>
        <w:rPr>
          <w:rFonts w:hint="eastAsia" w:ascii="Times New Roman" w:hAnsi="Times New Roman" w:eastAsia="仿宋_GB2312" w:cs="Times New Roman"/>
          <w:i w:val="0"/>
          <w:iCs w:val="0"/>
          <w:color w:val="auto"/>
          <w:sz w:val="32"/>
          <w:szCs w:val="32"/>
          <w:highlight w:val="none"/>
          <w:lang w:eastAsia="zh-CN"/>
        </w:rPr>
        <w:t>别、跨年度重复申报。</w:t>
      </w:r>
    </w:p>
    <w:p w14:paraId="2D88F2C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第十条</w:t>
      </w:r>
      <w:r>
        <w:rPr>
          <w:rFonts w:hint="default" w:ascii="Times New Roman" w:hAnsi="Times New Roman" w:eastAsia="仿宋_GB2312" w:cs="Times New Roman"/>
          <w:color w:val="auto"/>
          <w:sz w:val="32"/>
          <w:szCs w:val="32"/>
          <w:highlight w:val="none"/>
        </w:rPr>
        <w:t xml:space="preserve"> 奖励周期：</w:t>
      </w:r>
      <w:r>
        <w:rPr>
          <w:rFonts w:hint="default" w:ascii="Times New Roman" w:hAnsi="Times New Roman" w:eastAsia="楷体_GB2312" w:cs="Times New Roman"/>
          <w:color w:val="auto"/>
          <w:sz w:val="32"/>
          <w:szCs w:val="32"/>
          <w:highlight w:val="none"/>
        </w:rPr>
        <w:t>质量技术奖（综合类）</w:t>
      </w:r>
      <w:r>
        <w:rPr>
          <w:rFonts w:hint="eastAsia" w:ascii="Times New Roman" w:hAnsi="Times New Roman" w:eastAsia="楷体_GB2312" w:cs="Times New Roman"/>
          <w:color w:val="auto"/>
          <w:sz w:val="32"/>
          <w:szCs w:val="32"/>
          <w:highlight w:val="none"/>
          <w:lang w:val="en-US" w:eastAsia="zh-CN"/>
        </w:rPr>
        <w:t>每年评选一次，</w:t>
      </w:r>
      <w:r>
        <w:rPr>
          <w:rFonts w:hint="default" w:ascii="Times New Roman" w:hAnsi="Times New Roman" w:eastAsia="楷体_GB2312" w:cs="Times New Roman"/>
          <w:color w:val="auto"/>
          <w:sz w:val="32"/>
          <w:szCs w:val="32"/>
          <w:highlight w:val="none"/>
        </w:rPr>
        <w:t>质量技术奖（个人类）</w:t>
      </w:r>
      <w:r>
        <w:rPr>
          <w:rFonts w:hint="default" w:ascii="Times New Roman" w:hAnsi="Times New Roman" w:eastAsia="仿宋_GB2312" w:cs="Times New Roman"/>
          <w:color w:val="auto"/>
          <w:sz w:val="32"/>
          <w:szCs w:val="32"/>
          <w:highlight w:val="none"/>
        </w:rPr>
        <w:t>每</w:t>
      </w:r>
      <w:r>
        <w:rPr>
          <w:rFonts w:hint="eastAsia" w:ascii="Times New Roman" w:hAnsi="Times New Roman" w:eastAsia="仿宋_GB2312" w:cs="Times New Roman"/>
          <w:color w:val="auto"/>
          <w:sz w:val="32"/>
          <w:szCs w:val="32"/>
          <w:highlight w:val="none"/>
          <w:lang w:val="en-US" w:eastAsia="zh-CN"/>
        </w:rPr>
        <w:t>两</w:t>
      </w:r>
      <w:r>
        <w:rPr>
          <w:rFonts w:hint="default" w:ascii="Times New Roman" w:hAnsi="Times New Roman" w:eastAsia="仿宋_GB2312" w:cs="Times New Roman"/>
          <w:color w:val="auto"/>
          <w:sz w:val="32"/>
          <w:szCs w:val="32"/>
          <w:highlight w:val="none"/>
        </w:rPr>
        <w:t>年评选一次。具体申报起止时间以协会官方发布的通知为准。</w:t>
      </w:r>
    </w:p>
    <w:p w14:paraId="5165C41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p>
    <w:p w14:paraId="5A80F98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第四章 受理方式</w:t>
      </w:r>
    </w:p>
    <w:p w14:paraId="76536BD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第十</w:t>
      </w:r>
      <w:r>
        <w:rPr>
          <w:rFonts w:hint="default" w:ascii="Times New Roman" w:hAnsi="Times New Roman" w:eastAsia="仿宋_GB2312" w:cs="Times New Roman"/>
          <w:b/>
          <w:bCs/>
          <w:color w:val="auto"/>
          <w:sz w:val="32"/>
          <w:szCs w:val="32"/>
          <w:highlight w:val="none"/>
          <w:lang w:val="en-US" w:eastAsia="zh-CN"/>
        </w:rPr>
        <w:t>一</w:t>
      </w:r>
      <w:r>
        <w:rPr>
          <w:rFonts w:hint="default" w:ascii="Times New Roman" w:hAnsi="Times New Roman" w:eastAsia="仿宋_GB2312" w:cs="Times New Roman"/>
          <w:b/>
          <w:bCs/>
          <w:color w:val="auto"/>
          <w:sz w:val="32"/>
          <w:szCs w:val="32"/>
          <w:highlight w:val="none"/>
        </w:rPr>
        <w:t>条</w:t>
      </w:r>
      <w:r>
        <w:rPr>
          <w:rFonts w:hint="default" w:ascii="Times New Roman" w:hAnsi="Times New Roman" w:eastAsia="仿宋_GB2312" w:cs="Times New Roman"/>
          <w:color w:val="auto"/>
          <w:sz w:val="32"/>
          <w:szCs w:val="32"/>
          <w:highlight w:val="none"/>
        </w:rPr>
        <w:t xml:space="preserve"> 申报主体</w:t>
      </w:r>
    </w:p>
    <w:p w14:paraId="59C44C4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sz w:val="32"/>
          <w:szCs w:val="32"/>
          <w:highlight w:val="none"/>
        </w:rPr>
        <w:t>（一）独家完成的项目由主持单位组织申报；</w:t>
      </w:r>
    </w:p>
    <w:p w14:paraId="4B84E9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sz w:val="32"/>
          <w:szCs w:val="32"/>
          <w:highlight w:val="none"/>
        </w:rPr>
        <w:t>（二）两个或两个以上单位合作完成的项目，由主持单位与其他完成单位协商一致后，由项目主持单位组织申报。</w:t>
      </w:r>
    </w:p>
    <w:p w14:paraId="275CB27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sz w:val="32"/>
          <w:szCs w:val="32"/>
          <w:highlight w:val="none"/>
        </w:rPr>
        <w:t>（三）由个人或团队独立完成的项目，由该个人或其推举的代表组织申报。</w:t>
      </w:r>
    </w:p>
    <w:p w14:paraId="7FBA88C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auto"/>
          <w:sz w:val="32"/>
          <w:szCs w:val="32"/>
          <w:highlight w:val="none"/>
        </w:rPr>
      </w:pPr>
    </w:p>
    <w:p w14:paraId="0DB5D638">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第十</w:t>
      </w:r>
      <w:r>
        <w:rPr>
          <w:rFonts w:hint="default" w:ascii="Times New Roman" w:hAnsi="Times New Roman" w:eastAsia="仿宋_GB2312" w:cs="Times New Roman"/>
          <w:b/>
          <w:bCs/>
          <w:color w:val="auto"/>
          <w:sz w:val="32"/>
          <w:szCs w:val="32"/>
          <w:highlight w:val="none"/>
          <w:lang w:val="en-US" w:eastAsia="zh-CN"/>
        </w:rPr>
        <w:t>二</w:t>
      </w:r>
      <w:r>
        <w:rPr>
          <w:rFonts w:hint="default" w:ascii="Times New Roman" w:hAnsi="Times New Roman" w:eastAsia="仿宋_GB2312" w:cs="Times New Roman"/>
          <w:b/>
          <w:bCs/>
          <w:color w:val="auto"/>
          <w:sz w:val="32"/>
          <w:szCs w:val="32"/>
          <w:highlight w:val="none"/>
        </w:rPr>
        <w:t>条</w:t>
      </w:r>
      <w:r>
        <w:rPr>
          <w:rFonts w:hint="default" w:ascii="Times New Roman" w:hAnsi="Times New Roman" w:eastAsia="仿宋_GB2312" w:cs="Times New Roman"/>
          <w:color w:val="auto"/>
          <w:sz w:val="32"/>
          <w:szCs w:val="32"/>
          <w:highlight w:val="none"/>
        </w:rPr>
        <w:t xml:space="preserve"> 申报原则</w:t>
      </w:r>
    </w:p>
    <w:p w14:paraId="74EE98A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eastAsia="zh-CN"/>
        </w:rPr>
        <w:t>申报主体应以</w:t>
      </w:r>
      <w:r>
        <w:rPr>
          <w:rFonts w:hint="default" w:ascii="Times New Roman" w:hAnsi="Times New Roman" w:eastAsia="仿宋_GB2312" w:cs="Times New Roman"/>
          <w:color w:val="auto"/>
          <w:sz w:val="32"/>
          <w:szCs w:val="32"/>
          <w:highlight w:val="none"/>
        </w:rPr>
        <w:t>自愿原则向办公室提出申请和提交申报材料。</w:t>
      </w:r>
    </w:p>
    <w:p w14:paraId="227E495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第十</w:t>
      </w:r>
      <w:r>
        <w:rPr>
          <w:rFonts w:hint="default" w:ascii="Times New Roman" w:hAnsi="Times New Roman" w:eastAsia="仿宋_GB2312" w:cs="Times New Roman"/>
          <w:b/>
          <w:bCs/>
          <w:color w:val="auto"/>
          <w:sz w:val="32"/>
          <w:szCs w:val="32"/>
          <w:highlight w:val="none"/>
          <w:lang w:val="en-US" w:eastAsia="zh-CN"/>
        </w:rPr>
        <w:t>三</w:t>
      </w:r>
      <w:r>
        <w:rPr>
          <w:rFonts w:hint="default" w:ascii="Times New Roman" w:hAnsi="Times New Roman" w:eastAsia="仿宋_GB2312" w:cs="Times New Roman"/>
          <w:b/>
          <w:bCs/>
          <w:color w:val="auto"/>
          <w:sz w:val="32"/>
          <w:szCs w:val="32"/>
          <w:highlight w:val="none"/>
        </w:rPr>
        <w:t>条</w:t>
      </w:r>
      <w:r>
        <w:rPr>
          <w:rFonts w:hint="default" w:ascii="Times New Roman" w:hAnsi="Times New Roman" w:eastAsia="仿宋_GB2312" w:cs="Times New Roman"/>
          <w:color w:val="auto"/>
          <w:sz w:val="32"/>
          <w:szCs w:val="32"/>
          <w:highlight w:val="none"/>
        </w:rPr>
        <w:t xml:space="preserve"> 申报条件</w:t>
      </w:r>
    </w:p>
    <w:p w14:paraId="38556DF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sz w:val="32"/>
          <w:szCs w:val="32"/>
          <w:highlight w:val="none"/>
        </w:rPr>
        <w:t>（一）符合本管理办法第</w:t>
      </w:r>
      <w:r>
        <w:rPr>
          <w:rFonts w:hint="default" w:ascii="Times New Roman" w:hAnsi="Times New Roman" w:eastAsia="楷体_GB2312" w:cs="Times New Roman"/>
          <w:color w:val="auto"/>
          <w:sz w:val="32"/>
          <w:szCs w:val="32"/>
          <w:highlight w:val="none"/>
          <w:lang w:val="en-US" w:eastAsia="zh-CN"/>
        </w:rPr>
        <w:t>九</w:t>
      </w:r>
      <w:r>
        <w:rPr>
          <w:rFonts w:hint="default" w:ascii="Times New Roman" w:hAnsi="Times New Roman" w:eastAsia="楷体_GB2312" w:cs="Times New Roman"/>
          <w:color w:val="auto"/>
          <w:sz w:val="32"/>
          <w:szCs w:val="32"/>
          <w:highlight w:val="none"/>
        </w:rPr>
        <w:t>条规定的奖励对象；</w:t>
      </w:r>
    </w:p>
    <w:p w14:paraId="10DA193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sz w:val="32"/>
          <w:szCs w:val="32"/>
          <w:highlight w:val="none"/>
        </w:rPr>
        <w:t>（二）申报组织应当是在项目研究、开发、应用或推广过程中起主要作用并做出重要贡献的单位；申报个人应当是在质量技术项目创新、成果转化、推广应用及研究工作中做出重要贡献的个人。</w:t>
      </w:r>
    </w:p>
    <w:p w14:paraId="54A229B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sz w:val="32"/>
          <w:szCs w:val="32"/>
          <w:highlight w:val="none"/>
        </w:rPr>
        <w:t>（三）</w:t>
      </w:r>
      <w:r>
        <w:rPr>
          <w:rFonts w:hint="default" w:ascii="Times New Roman" w:hAnsi="Times New Roman" w:eastAsia="楷体_GB2312" w:cs="Times New Roman"/>
          <w:color w:val="auto"/>
          <w:sz w:val="32"/>
          <w:szCs w:val="32"/>
          <w:highlight w:val="none"/>
          <w:lang w:val="en-US" w:eastAsia="zh-CN"/>
        </w:rPr>
        <w:t>质量技术</w:t>
      </w:r>
      <w:r>
        <w:rPr>
          <w:rFonts w:hint="default" w:ascii="Times New Roman" w:hAnsi="Times New Roman" w:eastAsia="楷体_GB2312" w:cs="Times New Roman"/>
          <w:color w:val="auto"/>
          <w:sz w:val="32"/>
          <w:szCs w:val="32"/>
          <w:highlight w:val="none"/>
        </w:rPr>
        <w:t>奖</w:t>
      </w:r>
      <w:r>
        <w:rPr>
          <w:rFonts w:hint="default" w:ascii="Times New Roman" w:hAnsi="Times New Roman" w:eastAsia="楷体_GB2312" w:cs="Times New Roman"/>
          <w:color w:val="auto"/>
          <w:sz w:val="32"/>
          <w:szCs w:val="32"/>
          <w:highlight w:val="none"/>
          <w:lang w:eastAsia="zh-CN"/>
        </w:rPr>
        <w:t>（</w:t>
      </w:r>
      <w:r>
        <w:rPr>
          <w:rFonts w:hint="default" w:ascii="Times New Roman" w:hAnsi="Times New Roman" w:eastAsia="楷体_GB2312" w:cs="Times New Roman"/>
          <w:color w:val="auto"/>
          <w:sz w:val="32"/>
          <w:szCs w:val="32"/>
          <w:highlight w:val="none"/>
          <w:lang w:val="en-US" w:eastAsia="zh-CN"/>
        </w:rPr>
        <w:t>综合类</w:t>
      </w:r>
      <w:r>
        <w:rPr>
          <w:rFonts w:hint="default" w:ascii="Times New Roman" w:hAnsi="Times New Roman" w:eastAsia="楷体_GB2312" w:cs="Times New Roman"/>
          <w:color w:val="auto"/>
          <w:sz w:val="32"/>
          <w:szCs w:val="32"/>
          <w:highlight w:val="none"/>
          <w:lang w:eastAsia="zh-CN"/>
        </w:rPr>
        <w:t>）</w:t>
      </w:r>
      <w:r>
        <w:rPr>
          <w:rFonts w:hint="default" w:ascii="Times New Roman" w:hAnsi="Times New Roman" w:eastAsia="楷体_GB2312" w:cs="Times New Roman"/>
          <w:color w:val="auto"/>
          <w:sz w:val="32"/>
          <w:szCs w:val="32"/>
          <w:highlight w:val="none"/>
        </w:rPr>
        <w:t>的申报成果应是近3年（自申报截止日期前溯36个月，含截止日期当月）通过鉴定、验收、评审或技术评估等形式认定的项目。如未取得有关成果评价证明，可提前向广东省质量协会申请成果评估鉴定，符合条件的颁发成果鉴定证书。获得成果评价证明后方可申报。</w:t>
      </w:r>
    </w:p>
    <w:p w14:paraId="20BA21A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楷体_GB2312" w:cs="Times New Roman"/>
          <w:color w:val="auto"/>
          <w:sz w:val="32"/>
          <w:szCs w:val="32"/>
          <w:highlight w:val="none"/>
          <w:lang w:eastAsia="zh-CN"/>
        </w:rPr>
      </w:pPr>
      <w:r>
        <w:rPr>
          <w:rFonts w:hint="default" w:ascii="Times New Roman" w:hAnsi="Times New Roman" w:eastAsia="楷体_GB2312" w:cs="Times New Roman"/>
          <w:color w:val="auto"/>
          <w:sz w:val="32"/>
          <w:szCs w:val="32"/>
          <w:highlight w:val="none"/>
        </w:rPr>
        <w:t>（四）有下列情况之一的</w:t>
      </w:r>
      <w:r>
        <w:rPr>
          <w:rFonts w:hint="eastAsia" w:ascii="Times New Roman" w:hAnsi="Times New Roman" w:eastAsia="楷体_GB2312" w:cs="Times New Roman"/>
          <w:color w:val="auto"/>
          <w:sz w:val="32"/>
          <w:szCs w:val="32"/>
          <w:highlight w:val="none"/>
          <w:lang w:eastAsia="zh-CN"/>
        </w:rPr>
        <w:t>，不予</w:t>
      </w:r>
      <w:r>
        <w:rPr>
          <w:rFonts w:hint="default" w:ascii="Times New Roman" w:hAnsi="Times New Roman" w:eastAsia="楷体_GB2312" w:cs="Times New Roman"/>
          <w:color w:val="auto"/>
          <w:sz w:val="32"/>
          <w:szCs w:val="32"/>
          <w:highlight w:val="none"/>
        </w:rPr>
        <w:t>受理</w:t>
      </w:r>
      <w:r>
        <w:rPr>
          <w:rFonts w:hint="eastAsia" w:ascii="Times New Roman" w:hAnsi="Times New Roman" w:eastAsia="楷体_GB2312" w:cs="Times New Roman"/>
          <w:color w:val="auto"/>
          <w:sz w:val="32"/>
          <w:szCs w:val="32"/>
          <w:highlight w:val="none"/>
          <w:lang w:eastAsia="zh-CN"/>
        </w:rPr>
        <w:t>：</w:t>
      </w:r>
    </w:p>
    <w:p w14:paraId="6386B95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涉及国防、国家安全领域的保密申报成果或项目；</w:t>
      </w:r>
    </w:p>
    <w:p w14:paraId="780FFEA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存在知识产权或有关完成单位、完成人等方面争议的申报成果或项目；</w:t>
      </w:r>
    </w:p>
    <w:p w14:paraId="068DE3C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未按要求取得法律、行政法规规定许可证的申报成果或项目；</w:t>
      </w:r>
    </w:p>
    <w:p w14:paraId="1D03C5E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4</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已获得本奖项或省级及以上质量技术领域同等级别及以上质量技术奖的申报</w:t>
      </w:r>
      <w:r>
        <w:rPr>
          <w:rFonts w:hint="eastAsia" w:ascii="Times New Roman" w:hAnsi="Times New Roman" w:eastAsia="仿宋_GB2312" w:cs="Times New Roman"/>
          <w:color w:val="auto"/>
          <w:sz w:val="32"/>
          <w:szCs w:val="32"/>
          <w:highlight w:val="none"/>
          <w:lang w:eastAsia="zh-CN"/>
        </w:rPr>
        <w:t>项目或成果</w:t>
      </w:r>
      <w:r>
        <w:rPr>
          <w:rFonts w:hint="default" w:ascii="Times New Roman" w:hAnsi="Times New Roman" w:eastAsia="仿宋_GB2312" w:cs="Times New Roman"/>
          <w:color w:val="auto"/>
          <w:sz w:val="32"/>
          <w:szCs w:val="32"/>
          <w:highlight w:val="none"/>
        </w:rPr>
        <w:t>。</w:t>
      </w:r>
    </w:p>
    <w:p w14:paraId="3A27ACD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第十</w:t>
      </w:r>
      <w:r>
        <w:rPr>
          <w:rFonts w:hint="default" w:ascii="Times New Roman" w:hAnsi="Times New Roman" w:eastAsia="仿宋_GB2312" w:cs="Times New Roman"/>
          <w:b/>
          <w:bCs/>
          <w:color w:val="auto"/>
          <w:sz w:val="32"/>
          <w:szCs w:val="32"/>
          <w:highlight w:val="none"/>
          <w:lang w:val="en-US" w:eastAsia="zh-CN"/>
        </w:rPr>
        <w:t>四</w:t>
      </w:r>
      <w:r>
        <w:rPr>
          <w:rFonts w:hint="default" w:ascii="Times New Roman" w:hAnsi="Times New Roman" w:eastAsia="仿宋_GB2312" w:cs="Times New Roman"/>
          <w:b/>
          <w:bCs/>
          <w:color w:val="auto"/>
          <w:sz w:val="32"/>
          <w:szCs w:val="32"/>
          <w:highlight w:val="none"/>
        </w:rPr>
        <w:t>条</w:t>
      </w:r>
      <w:r>
        <w:rPr>
          <w:rFonts w:hint="default" w:ascii="Times New Roman" w:hAnsi="Times New Roman" w:eastAsia="仿宋_GB2312" w:cs="Times New Roman"/>
          <w:color w:val="auto"/>
          <w:sz w:val="32"/>
          <w:szCs w:val="32"/>
          <w:highlight w:val="none"/>
        </w:rPr>
        <w:t xml:space="preserve"> 申报渠道</w:t>
      </w:r>
    </w:p>
    <w:p w14:paraId="1D17DED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sz w:val="32"/>
          <w:szCs w:val="32"/>
          <w:highlight w:val="none"/>
        </w:rPr>
        <w:t>（一）高等院校、科研院所及广东省质量协会会员单位可直接申报；</w:t>
      </w:r>
    </w:p>
    <w:p w14:paraId="22050D6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sz w:val="32"/>
          <w:szCs w:val="32"/>
          <w:highlight w:val="none"/>
        </w:rPr>
        <w:t>（二）其他企事业单位可经省内社会团体、行业商协会推荐或直接申报。</w:t>
      </w:r>
    </w:p>
    <w:p w14:paraId="5668F32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sz w:val="32"/>
          <w:szCs w:val="32"/>
          <w:highlight w:val="none"/>
        </w:rPr>
        <w:t>（三）经广东省质量协会委托或授权单位推荐申报。</w:t>
      </w:r>
    </w:p>
    <w:p w14:paraId="4E0BBE0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第十</w:t>
      </w:r>
      <w:r>
        <w:rPr>
          <w:rFonts w:hint="default" w:ascii="Times New Roman" w:hAnsi="Times New Roman" w:eastAsia="仿宋_GB2312" w:cs="Times New Roman"/>
          <w:b/>
          <w:bCs/>
          <w:color w:val="auto"/>
          <w:sz w:val="32"/>
          <w:szCs w:val="32"/>
          <w:highlight w:val="none"/>
          <w:lang w:val="en-US" w:eastAsia="zh-CN"/>
        </w:rPr>
        <w:t>五</w:t>
      </w:r>
      <w:r>
        <w:rPr>
          <w:rFonts w:hint="default" w:ascii="Times New Roman" w:hAnsi="Times New Roman" w:eastAsia="仿宋_GB2312" w:cs="Times New Roman"/>
          <w:b/>
          <w:bCs/>
          <w:color w:val="auto"/>
          <w:sz w:val="32"/>
          <w:szCs w:val="32"/>
          <w:highlight w:val="none"/>
        </w:rPr>
        <w:t>条</w:t>
      </w:r>
      <w:r>
        <w:rPr>
          <w:rFonts w:hint="default" w:ascii="Times New Roman" w:hAnsi="Times New Roman" w:eastAsia="仿宋_GB2312" w:cs="Times New Roman"/>
          <w:color w:val="auto"/>
          <w:sz w:val="32"/>
          <w:szCs w:val="32"/>
          <w:highlight w:val="none"/>
        </w:rPr>
        <w:t xml:space="preserve"> 申报材料</w:t>
      </w:r>
    </w:p>
    <w:p w14:paraId="1B657BD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申报时应按要求填写《广东省质量协会质量技术奖申报书》，并提供以下必要的证明或评价材料，申报书及有关材料应当完整、真实、可靠。具体申报的起止时间以广东省质量协会网站、公众号当年发布的通知为准。</w:t>
      </w:r>
    </w:p>
    <w:p w14:paraId="03CCF8E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sz w:val="32"/>
          <w:szCs w:val="32"/>
          <w:highlight w:val="none"/>
        </w:rPr>
        <w:t>（一）质量技术奖（综合类）申报材料</w:t>
      </w:r>
    </w:p>
    <w:p w14:paraId="2523F13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营业执照、事业单位法人证书等相关资质证书；</w:t>
      </w:r>
    </w:p>
    <w:p w14:paraId="070D76C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技术评价证明（如成果鉴定证书、验收报告、评审报告、评估报告等）、科技查新报告、专利证书等可证明的佐证材料；</w:t>
      </w:r>
    </w:p>
    <w:p w14:paraId="4EB363E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成果应用证明（用户使用证明、社会效益证明）；</w:t>
      </w:r>
    </w:p>
    <w:p w14:paraId="7151BBC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4</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知识产权证明、论文专著、技术研究报告或其摘要</w:t>
      </w:r>
      <w:r>
        <w:rPr>
          <w:rFonts w:hint="eastAsia" w:ascii="Times New Roman" w:hAnsi="Times New Roman" w:eastAsia="仿宋_GB2312" w:cs="Times New Roman"/>
          <w:color w:val="auto"/>
          <w:sz w:val="32"/>
          <w:szCs w:val="32"/>
          <w:highlight w:val="none"/>
          <w:lang w:val="en-US" w:eastAsia="zh-CN"/>
        </w:rPr>
        <w:t>等</w:t>
      </w:r>
      <w:r>
        <w:rPr>
          <w:rFonts w:hint="default" w:ascii="Times New Roman" w:hAnsi="Times New Roman" w:eastAsia="仿宋_GB2312" w:cs="Times New Roman"/>
          <w:color w:val="auto"/>
          <w:sz w:val="32"/>
          <w:szCs w:val="32"/>
          <w:highlight w:val="none"/>
        </w:rPr>
        <w:t>内容；</w:t>
      </w:r>
    </w:p>
    <w:p w14:paraId="77EABE9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5</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其他与项目有关的证明材料（如检测报告、荣誉证书、经济效益审计报告、社会效益评价报告等）。</w:t>
      </w:r>
    </w:p>
    <w:p w14:paraId="14FC80D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sz w:val="32"/>
          <w:szCs w:val="32"/>
          <w:highlight w:val="none"/>
        </w:rPr>
        <w:t>（二）质量技术奖（</w:t>
      </w:r>
      <w:r>
        <w:rPr>
          <w:rFonts w:hint="default" w:ascii="Times New Roman" w:hAnsi="Times New Roman" w:eastAsia="楷体_GB2312" w:cs="Times New Roman"/>
          <w:color w:val="auto"/>
          <w:sz w:val="32"/>
          <w:szCs w:val="32"/>
          <w:highlight w:val="none"/>
          <w:lang w:val="en-US" w:eastAsia="zh-CN"/>
        </w:rPr>
        <w:t>个人</w:t>
      </w:r>
      <w:r>
        <w:rPr>
          <w:rFonts w:hint="default" w:ascii="Times New Roman" w:hAnsi="Times New Roman" w:eastAsia="楷体_GB2312" w:cs="Times New Roman"/>
          <w:color w:val="auto"/>
          <w:sz w:val="32"/>
          <w:szCs w:val="32"/>
          <w:highlight w:val="none"/>
        </w:rPr>
        <w:t>类）申报材料</w:t>
      </w:r>
    </w:p>
    <w:p w14:paraId="4D3B0B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申报人所在单位营业执照、事业单位法人证书等相关资质证书；</w:t>
      </w:r>
    </w:p>
    <w:p w14:paraId="7722C7E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申报人近3年（自申报截止日期前溯36个月，含截止日期当月）主持完成的</w:t>
      </w:r>
      <w:r>
        <w:rPr>
          <w:rFonts w:hint="default" w:ascii="Times New Roman" w:hAnsi="Times New Roman" w:eastAsia="仿宋_GB2312" w:cs="Times New Roman"/>
          <w:color w:val="auto"/>
          <w:sz w:val="32"/>
          <w:szCs w:val="32"/>
          <w:highlight w:val="none"/>
          <w:lang w:val="en-US" w:eastAsia="zh-CN"/>
        </w:rPr>
        <w:t>质量</w:t>
      </w:r>
      <w:r>
        <w:rPr>
          <w:rFonts w:hint="default" w:ascii="Times New Roman" w:hAnsi="Times New Roman" w:eastAsia="仿宋_GB2312" w:cs="Times New Roman"/>
          <w:color w:val="auto"/>
          <w:sz w:val="32"/>
          <w:szCs w:val="32"/>
          <w:highlight w:val="none"/>
        </w:rPr>
        <w:t>攻关项目、</w:t>
      </w:r>
      <w:r>
        <w:rPr>
          <w:rFonts w:hint="default" w:ascii="Times New Roman" w:hAnsi="Times New Roman" w:eastAsia="仿宋_GB2312" w:cs="Times New Roman"/>
          <w:color w:val="auto"/>
          <w:sz w:val="32"/>
          <w:szCs w:val="32"/>
          <w:highlight w:val="none"/>
          <w:lang w:val="en-US" w:eastAsia="zh-CN"/>
        </w:rPr>
        <w:t>质量成果等</w:t>
      </w:r>
      <w:r>
        <w:rPr>
          <w:rFonts w:hint="default" w:ascii="Times New Roman" w:hAnsi="Times New Roman" w:eastAsia="仿宋_GB2312" w:cs="Times New Roman"/>
          <w:color w:val="auto"/>
          <w:sz w:val="32"/>
          <w:szCs w:val="32"/>
          <w:highlight w:val="none"/>
        </w:rPr>
        <w:t>相关证明，或相关成果获评地级市级以上</w:t>
      </w:r>
      <w:r>
        <w:rPr>
          <w:rFonts w:hint="default" w:ascii="Times New Roman" w:hAnsi="Times New Roman" w:eastAsia="仿宋_GB2312" w:cs="Times New Roman"/>
          <w:color w:val="auto"/>
          <w:sz w:val="32"/>
          <w:szCs w:val="32"/>
          <w:highlight w:val="none"/>
          <w:lang w:val="en-US" w:eastAsia="zh-CN"/>
        </w:rPr>
        <w:t>科学</w:t>
      </w:r>
      <w:r>
        <w:rPr>
          <w:rFonts w:hint="default" w:ascii="Times New Roman" w:hAnsi="Times New Roman" w:eastAsia="仿宋_GB2312" w:cs="Times New Roman"/>
          <w:color w:val="auto"/>
          <w:sz w:val="32"/>
          <w:szCs w:val="32"/>
          <w:highlight w:val="none"/>
        </w:rPr>
        <w:t>技术奖、成果奖的佐证材料（如有）；</w:t>
      </w:r>
    </w:p>
    <w:p w14:paraId="4880D68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申报人近3年内取得的发明或实用新型专利授权（如有）；</w:t>
      </w:r>
    </w:p>
    <w:p w14:paraId="568C6BD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4</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申报人近3年内参与起草制订（已发布）的国家、行业、地方或团体标准（如有）；</w:t>
      </w:r>
    </w:p>
    <w:p w14:paraId="50CCBD1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5</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申报人近3年内在本行业相关刊物上发表过的科技或科普专著、科技论文或科普文章（如有）。</w:t>
      </w:r>
    </w:p>
    <w:p w14:paraId="0A22F74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p>
    <w:p w14:paraId="7C83C53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第五章 评审机制</w:t>
      </w:r>
    </w:p>
    <w:p w14:paraId="57E81D2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第十</w:t>
      </w:r>
      <w:r>
        <w:rPr>
          <w:rFonts w:hint="default" w:ascii="Times New Roman" w:hAnsi="Times New Roman" w:eastAsia="仿宋_GB2312" w:cs="Times New Roman"/>
          <w:b/>
          <w:bCs/>
          <w:color w:val="auto"/>
          <w:sz w:val="32"/>
          <w:szCs w:val="32"/>
          <w:highlight w:val="none"/>
          <w:lang w:val="en-US" w:eastAsia="zh-CN"/>
        </w:rPr>
        <w:t>六</w:t>
      </w:r>
      <w:r>
        <w:rPr>
          <w:rFonts w:hint="default" w:ascii="Times New Roman" w:hAnsi="Times New Roman" w:eastAsia="仿宋_GB2312" w:cs="Times New Roman"/>
          <w:b/>
          <w:bCs/>
          <w:color w:val="auto"/>
          <w:sz w:val="32"/>
          <w:szCs w:val="32"/>
          <w:highlight w:val="none"/>
        </w:rPr>
        <w:t>条</w:t>
      </w:r>
      <w:r>
        <w:rPr>
          <w:rFonts w:hint="default" w:ascii="Times New Roman" w:hAnsi="Times New Roman" w:eastAsia="仿宋_GB2312" w:cs="Times New Roman"/>
          <w:color w:val="auto"/>
          <w:sz w:val="32"/>
          <w:szCs w:val="32"/>
          <w:highlight w:val="none"/>
        </w:rPr>
        <w:t xml:space="preserve"> 评审程序</w:t>
      </w:r>
    </w:p>
    <w:p w14:paraId="04BB697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sz w:val="32"/>
          <w:szCs w:val="32"/>
          <w:highlight w:val="none"/>
        </w:rPr>
        <w:t>（一）形式审查</w:t>
      </w:r>
    </w:p>
    <w:p w14:paraId="35C0564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办公室负责受理，并对申报材料进行形式审查。对不符合规定的申报材料，可以要求申报单位和申报人在规定的时间内补正，逾期不补正或者经补正仍不符合要求的，可以不提交评审。</w:t>
      </w:r>
    </w:p>
    <w:p w14:paraId="603758F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kern w:val="2"/>
          <w:sz w:val="32"/>
          <w:szCs w:val="32"/>
          <w:highlight w:val="none"/>
          <w:lang w:val="en-US" w:eastAsia="zh-CN" w:bidi="ar-SA"/>
        </w:rPr>
        <w:t>（二）</w:t>
      </w:r>
      <w:r>
        <w:rPr>
          <w:rFonts w:hint="default" w:ascii="Times New Roman" w:hAnsi="Times New Roman" w:eastAsia="楷体_GB2312" w:cs="Times New Roman"/>
          <w:color w:val="auto"/>
          <w:sz w:val="32"/>
          <w:szCs w:val="32"/>
          <w:highlight w:val="none"/>
        </w:rPr>
        <w:t>材料评审</w:t>
      </w:r>
    </w:p>
    <w:p w14:paraId="04418DD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组织专家评审组或委托第三方评价机构依据评审标准及有关要求，对通过形式审查的候选项目和候选人的申报材料进行初审评分，并按照得分由高到低排名，各奖项类别按本管理办法第</w:t>
      </w:r>
      <w:r>
        <w:rPr>
          <w:rFonts w:hint="default" w:ascii="Times New Roman" w:hAnsi="Times New Roman" w:eastAsia="仿宋_GB2312" w:cs="Times New Roman"/>
          <w:color w:val="auto"/>
          <w:sz w:val="32"/>
          <w:szCs w:val="32"/>
          <w:highlight w:val="none"/>
          <w:lang w:val="en-US" w:eastAsia="zh-CN"/>
        </w:rPr>
        <w:t>九</w:t>
      </w:r>
      <w:r>
        <w:rPr>
          <w:rFonts w:hint="default" w:ascii="Times New Roman" w:hAnsi="Times New Roman" w:eastAsia="仿宋_GB2312" w:cs="Times New Roman"/>
          <w:color w:val="auto"/>
          <w:sz w:val="32"/>
          <w:szCs w:val="32"/>
          <w:highlight w:val="none"/>
        </w:rPr>
        <w:t>条比例核定的拟授奖总数，乘以1.2后向上取整，作为提交评委会进行会议评审的候选项目数量上限。</w:t>
      </w:r>
    </w:p>
    <w:p w14:paraId="7EA24FC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kern w:val="2"/>
          <w:sz w:val="32"/>
          <w:szCs w:val="32"/>
          <w:highlight w:val="none"/>
          <w:lang w:val="en-US" w:eastAsia="zh-CN" w:bidi="ar-SA"/>
        </w:rPr>
        <w:t>（三）</w:t>
      </w:r>
      <w:r>
        <w:rPr>
          <w:rFonts w:hint="default" w:ascii="Times New Roman" w:hAnsi="Times New Roman" w:eastAsia="楷体_GB2312" w:cs="Times New Roman"/>
          <w:color w:val="auto"/>
          <w:sz w:val="32"/>
          <w:szCs w:val="32"/>
          <w:highlight w:val="none"/>
        </w:rPr>
        <w:t>会议评审</w:t>
      </w:r>
    </w:p>
    <w:p w14:paraId="749EC23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评审会议按照以下规则进行。</w:t>
      </w:r>
    </w:p>
    <w:p w14:paraId="5203AF9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评委会组织评审组以会议方式对上述材料评审的初审结果及候选奖项提名进行审定（必要时可邀请候选组织或个人进行现场答辩），以记名投票方式产生评审结果。</w:t>
      </w:r>
    </w:p>
    <w:p w14:paraId="61EBCAA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评委会进行会议评审表决时，应当有2/3以上（含2/3）的参评委员投票通过方为有效；专业评审组进行初审评分时，应当有半数以上参评专家参加。</w:t>
      </w:r>
    </w:p>
    <w:p w14:paraId="7B96539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3.评委会可对一等奖候选单位组织进行现场评审，形成现场评审意见，并提交委员会作会议终评参考。</w:t>
      </w:r>
    </w:p>
    <w:p w14:paraId="2FE16F6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第十</w:t>
      </w:r>
      <w:r>
        <w:rPr>
          <w:rFonts w:hint="default" w:ascii="Times New Roman" w:hAnsi="Times New Roman" w:eastAsia="仿宋_GB2312" w:cs="Times New Roman"/>
          <w:b/>
          <w:bCs/>
          <w:color w:val="auto"/>
          <w:sz w:val="32"/>
          <w:szCs w:val="32"/>
          <w:highlight w:val="none"/>
          <w:lang w:val="en-US" w:eastAsia="zh-CN"/>
        </w:rPr>
        <w:t>七</w:t>
      </w:r>
      <w:r>
        <w:rPr>
          <w:rFonts w:hint="default" w:ascii="Times New Roman" w:hAnsi="Times New Roman" w:eastAsia="仿宋_GB2312" w:cs="Times New Roman"/>
          <w:b/>
          <w:bCs/>
          <w:color w:val="auto"/>
          <w:sz w:val="32"/>
          <w:szCs w:val="32"/>
          <w:highlight w:val="none"/>
        </w:rPr>
        <w:t>条</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val="en-US" w:eastAsia="zh-CN"/>
        </w:rPr>
        <w:t>本奖项</w:t>
      </w:r>
      <w:r>
        <w:rPr>
          <w:rFonts w:hint="default" w:ascii="Times New Roman" w:hAnsi="Times New Roman" w:eastAsia="仿宋_GB2312" w:cs="Times New Roman"/>
          <w:color w:val="auto"/>
          <w:sz w:val="32"/>
          <w:szCs w:val="32"/>
          <w:highlight w:val="none"/>
        </w:rPr>
        <w:t>评审实行回避制度，凡与被评审的候选人、候选单位或者项目存在近亲属关系、直接合作关系、利益关联等可能影响公正评审情形的评审专家，应当主动回避；申报人或推荐单位认为评审专家存在上述回避情形的，可在材料评审开始前5</w:t>
      </w:r>
      <w:r>
        <w:rPr>
          <w:rFonts w:hint="eastAsia" w:ascii="Times New Roman" w:hAnsi="Times New Roman" w:eastAsia="仿宋_GB2312" w:cs="Times New Roman"/>
          <w:color w:val="auto"/>
          <w:sz w:val="32"/>
          <w:szCs w:val="32"/>
          <w:highlight w:val="none"/>
          <w:lang w:eastAsia="zh-CN"/>
        </w:rPr>
        <w:t>个工作日内向</w:t>
      </w:r>
      <w:r>
        <w:rPr>
          <w:rFonts w:hint="default" w:ascii="Times New Roman" w:hAnsi="Times New Roman" w:eastAsia="仿宋_GB2312" w:cs="Times New Roman"/>
          <w:color w:val="auto"/>
          <w:sz w:val="32"/>
          <w:szCs w:val="32"/>
          <w:highlight w:val="none"/>
        </w:rPr>
        <w:t>办公室提出书面回避申请，并提供相关证明材料，由委员会审议决定是否回避。</w:t>
      </w:r>
    </w:p>
    <w:p w14:paraId="2517D65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w:t>
      </w:r>
      <w:r>
        <w:rPr>
          <w:rFonts w:hint="default" w:ascii="Times New Roman" w:hAnsi="Times New Roman" w:eastAsia="仿宋_GB2312" w:cs="Times New Roman"/>
          <w:b/>
          <w:bCs/>
          <w:color w:val="auto"/>
          <w:sz w:val="32"/>
          <w:szCs w:val="32"/>
          <w:highlight w:val="none"/>
          <w:lang w:val="en-US" w:eastAsia="zh-CN"/>
        </w:rPr>
        <w:t>十八</w:t>
      </w:r>
      <w:r>
        <w:rPr>
          <w:rFonts w:hint="default" w:ascii="Times New Roman" w:hAnsi="Times New Roman" w:eastAsia="仿宋_GB2312" w:cs="Times New Roman"/>
          <w:b/>
          <w:bCs/>
          <w:color w:val="auto"/>
          <w:sz w:val="32"/>
          <w:szCs w:val="32"/>
          <w:highlight w:val="none"/>
        </w:rPr>
        <w:t>条</w:t>
      </w:r>
      <w:r>
        <w:rPr>
          <w:rFonts w:hint="default" w:ascii="Times New Roman" w:hAnsi="Times New Roman" w:eastAsia="仿宋_GB2312" w:cs="Times New Roman"/>
          <w:color w:val="auto"/>
          <w:sz w:val="32"/>
          <w:szCs w:val="32"/>
          <w:highlight w:val="none"/>
        </w:rPr>
        <w:t xml:space="preserve"> 办公室将拟授奖名</w:t>
      </w:r>
      <w:r>
        <w:rPr>
          <w:rFonts w:hint="eastAsia" w:ascii="Times New Roman" w:hAnsi="Times New Roman" w:eastAsia="仿宋_GB2312" w:cs="Times New Roman"/>
          <w:color w:val="auto"/>
          <w:sz w:val="32"/>
          <w:szCs w:val="32"/>
          <w:highlight w:val="none"/>
          <w:lang w:eastAsia="zh-CN"/>
        </w:rPr>
        <w:t>单</w:t>
      </w:r>
      <w:r>
        <w:rPr>
          <w:rFonts w:hint="default" w:ascii="Times New Roman" w:hAnsi="Times New Roman" w:eastAsia="仿宋_GB2312" w:cs="Times New Roman"/>
          <w:color w:val="auto"/>
          <w:sz w:val="32"/>
          <w:szCs w:val="32"/>
          <w:highlight w:val="none"/>
        </w:rPr>
        <w:t>通过广东省</w:t>
      </w:r>
      <w:r>
        <w:rPr>
          <w:rFonts w:hint="default" w:ascii="Times New Roman" w:hAnsi="Times New Roman" w:eastAsia="仿宋_GB2312" w:cs="Times New Roman"/>
          <w:color w:val="auto"/>
          <w:sz w:val="32"/>
          <w:szCs w:val="32"/>
          <w:highlight w:val="none"/>
          <w:lang w:val="en-US" w:eastAsia="zh-CN"/>
        </w:rPr>
        <w:t>质量协会</w:t>
      </w:r>
      <w:r>
        <w:rPr>
          <w:rFonts w:hint="default" w:ascii="Times New Roman" w:hAnsi="Times New Roman" w:eastAsia="仿宋_GB2312" w:cs="Times New Roman"/>
          <w:color w:val="auto"/>
          <w:sz w:val="32"/>
          <w:szCs w:val="32"/>
          <w:highlight w:val="none"/>
        </w:rPr>
        <w:t>官方网站或微信公众号等平台</w:t>
      </w:r>
      <w:r>
        <w:rPr>
          <w:rFonts w:hint="default" w:ascii="Times New Roman" w:hAnsi="Times New Roman" w:eastAsia="仿宋_GB2312" w:cs="Times New Roman"/>
          <w:color w:val="auto"/>
          <w:sz w:val="32"/>
          <w:szCs w:val="32"/>
          <w:highlight w:val="none"/>
          <w:lang w:eastAsia="zh-CN"/>
        </w:rPr>
        <w:t>向社会进行公示</w:t>
      </w:r>
      <w:r>
        <w:rPr>
          <w:rFonts w:hint="default" w:ascii="Times New Roman" w:hAnsi="Times New Roman" w:eastAsia="仿宋_GB2312" w:cs="Times New Roman"/>
          <w:color w:val="auto"/>
          <w:sz w:val="32"/>
          <w:szCs w:val="32"/>
          <w:highlight w:val="none"/>
        </w:rPr>
        <w:t>，并负责受理、核查和处理公示期间的反馈，公示期为7个工作日。完成公示程序后报委员会审定和公布最终获奖结果。</w:t>
      </w:r>
    </w:p>
    <w:p w14:paraId="15CA1851">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w:t>
      </w:r>
      <w:r>
        <w:rPr>
          <w:rFonts w:hint="default" w:ascii="Times New Roman" w:hAnsi="Times New Roman" w:eastAsia="仿宋_GB2312" w:cs="Times New Roman"/>
          <w:b/>
          <w:bCs/>
          <w:color w:val="auto"/>
          <w:sz w:val="32"/>
          <w:szCs w:val="32"/>
          <w:highlight w:val="none"/>
          <w:lang w:val="en-US" w:eastAsia="zh-CN"/>
        </w:rPr>
        <w:t>十九</w:t>
      </w:r>
      <w:r>
        <w:rPr>
          <w:rFonts w:hint="default" w:ascii="Times New Roman" w:hAnsi="Times New Roman" w:eastAsia="仿宋_GB2312" w:cs="Times New Roman"/>
          <w:b/>
          <w:bCs/>
          <w:color w:val="auto"/>
          <w:sz w:val="32"/>
          <w:szCs w:val="32"/>
          <w:highlight w:val="none"/>
        </w:rPr>
        <w:t>条</w:t>
      </w:r>
      <w:r>
        <w:rPr>
          <w:rFonts w:hint="default" w:ascii="Times New Roman" w:hAnsi="Times New Roman" w:eastAsia="仿宋_GB2312" w:cs="Times New Roman"/>
          <w:color w:val="auto"/>
          <w:sz w:val="32"/>
          <w:szCs w:val="32"/>
          <w:highlight w:val="none"/>
        </w:rPr>
        <w:t xml:space="preserve"> 每年评审工作结束后，对获奖单位和个人</w:t>
      </w:r>
      <w:r>
        <w:rPr>
          <w:rFonts w:hint="eastAsia" w:ascii="Times New Roman" w:hAnsi="Times New Roman" w:eastAsia="仿宋_GB2312" w:cs="Times New Roman"/>
          <w:color w:val="auto"/>
          <w:sz w:val="32"/>
          <w:szCs w:val="32"/>
          <w:highlight w:val="none"/>
          <w:lang w:val="en-US" w:eastAsia="zh-CN"/>
        </w:rPr>
        <w:t>颁发奖牌、证书</w:t>
      </w:r>
      <w:r>
        <w:rPr>
          <w:rFonts w:hint="default" w:ascii="Times New Roman" w:hAnsi="Times New Roman" w:eastAsia="仿宋_GB2312" w:cs="Times New Roman"/>
          <w:color w:val="auto"/>
          <w:sz w:val="32"/>
          <w:szCs w:val="32"/>
          <w:highlight w:val="none"/>
        </w:rPr>
        <w:t>；获奖对象如因故无法出席或自愿放弃荣誉，应在收到获奖通知后15个工作日内书面</w:t>
      </w:r>
      <w:r>
        <w:rPr>
          <w:rFonts w:hint="eastAsia" w:ascii="Times New Roman" w:hAnsi="Times New Roman" w:eastAsia="仿宋_GB2312" w:cs="Times New Roman"/>
          <w:color w:val="auto"/>
          <w:sz w:val="32"/>
          <w:szCs w:val="32"/>
          <w:highlight w:val="none"/>
          <w:lang w:val="en-US" w:eastAsia="zh-CN"/>
        </w:rPr>
        <w:t>通</w:t>
      </w:r>
      <w:r>
        <w:rPr>
          <w:rFonts w:hint="default" w:ascii="Times New Roman" w:hAnsi="Times New Roman" w:eastAsia="仿宋_GB2312" w:cs="Times New Roman"/>
          <w:color w:val="auto"/>
          <w:sz w:val="32"/>
          <w:szCs w:val="32"/>
          <w:highlight w:val="none"/>
        </w:rPr>
        <w:t>知办公室，逾期未</w:t>
      </w:r>
      <w:r>
        <w:rPr>
          <w:rFonts w:hint="eastAsia" w:ascii="Times New Roman" w:hAnsi="Times New Roman" w:eastAsia="仿宋_GB2312" w:cs="Times New Roman"/>
          <w:color w:val="auto"/>
          <w:sz w:val="32"/>
          <w:szCs w:val="32"/>
          <w:highlight w:val="none"/>
          <w:lang w:val="en-US" w:eastAsia="zh-CN"/>
        </w:rPr>
        <w:t>通</w:t>
      </w:r>
      <w:r>
        <w:rPr>
          <w:rFonts w:hint="default" w:ascii="Times New Roman" w:hAnsi="Times New Roman" w:eastAsia="仿宋_GB2312" w:cs="Times New Roman"/>
          <w:color w:val="auto"/>
          <w:sz w:val="32"/>
          <w:szCs w:val="32"/>
          <w:highlight w:val="none"/>
        </w:rPr>
        <w:t>知</w:t>
      </w:r>
      <w:r>
        <w:rPr>
          <w:rFonts w:hint="eastAsia" w:ascii="Times New Roman" w:hAnsi="Times New Roman" w:eastAsia="仿宋_GB2312" w:cs="Times New Roman"/>
          <w:color w:val="auto"/>
          <w:sz w:val="32"/>
          <w:szCs w:val="32"/>
          <w:highlight w:val="none"/>
          <w:lang w:val="en-US" w:eastAsia="zh-CN"/>
        </w:rPr>
        <w:t>的，</w:t>
      </w:r>
      <w:r>
        <w:rPr>
          <w:rFonts w:hint="default" w:ascii="Times New Roman" w:hAnsi="Times New Roman" w:eastAsia="仿宋_GB2312" w:cs="Times New Roman"/>
          <w:color w:val="auto"/>
          <w:sz w:val="32"/>
          <w:szCs w:val="32"/>
          <w:highlight w:val="none"/>
        </w:rPr>
        <w:t>视为同意。无法出席的获奖对象，可申请邮寄奖牌</w:t>
      </w:r>
      <w:r>
        <w:rPr>
          <w:rFonts w:hint="eastAsia" w:ascii="Times New Roman" w:hAnsi="Times New Roman" w:eastAsia="仿宋_GB2312" w:cs="Times New Roman"/>
          <w:color w:val="auto"/>
          <w:sz w:val="32"/>
          <w:szCs w:val="32"/>
          <w:highlight w:val="none"/>
          <w:lang w:eastAsia="zh-CN"/>
        </w:rPr>
        <w:t>、证书</w:t>
      </w:r>
      <w:r>
        <w:rPr>
          <w:rFonts w:hint="default" w:ascii="Times New Roman" w:hAnsi="Times New Roman" w:eastAsia="仿宋_GB2312" w:cs="Times New Roman"/>
          <w:color w:val="auto"/>
          <w:sz w:val="32"/>
          <w:szCs w:val="32"/>
          <w:highlight w:val="none"/>
        </w:rPr>
        <w:t>或委托他人代领（代领</w:t>
      </w:r>
      <w:r>
        <w:rPr>
          <w:rFonts w:hint="eastAsia" w:ascii="Times New Roman" w:hAnsi="Times New Roman" w:eastAsia="仿宋_GB2312" w:cs="Times New Roman"/>
          <w:color w:val="auto"/>
          <w:sz w:val="32"/>
          <w:szCs w:val="32"/>
          <w:highlight w:val="none"/>
          <w:lang w:val="en-US" w:eastAsia="zh-CN"/>
        </w:rPr>
        <w:t>时</w:t>
      </w:r>
      <w:r>
        <w:rPr>
          <w:rFonts w:hint="default" w:ascii="Times New Roman" w:hAnsi="Times New Roman" w:eastAsia="仿宋_GB2312" w:cs="Times New Roman"/>
          <w:color w:val="auto"/>
          <w:sz w:val="32"/>
          <w:szCs w:val="32"/>
          <w:highlight w:val="none"/>
        </w:rPr>
        <w:t>需提供授权委托书）。</w:t>
      </w:r>
    </w:p>
    <w:p w14:paraId="56A30EC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p>
    <w:p w14:paraId="6B458B8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第六章 争议处理</w:t>
      </w:r>
    </w:p>
    <w:p w14:paraId="6C04F9E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第二十条</w:t>
      </w:r>
      <w:r>
        <w:rPr>
          <w:rFonts w:hint="default" w:ascii="Times New Roman" w:hAnsi="Times New Roman" w:eastAsia="仿宋_GB2312" w:cs="Times New Roman"/>
          <w:color w:val="auto"/>
          <w:sz w:val="32"/>
          <w:szCs w:val="32"/>
          <w:highlight w:val="none"/>
        </w:rPr>
        <w:t xml:space="preserve"> 异议处理：异议应以书面形式提出，并提供必要的证明文件。提出异议的单位或个人应表明真实身份，凡是匿名或单位未盖公章且未提供可核实的关键证据材料的，不予受理；确因特殊情况无法实名且能提供有效证据的，可向办公室说明情况，由办公室核实后决定是否受理。</w:t>
      </w:r>
    </w:p>
    <w:p w14:paraId="0326F84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第二十</w:t>
      </w:r>
      <w:r>
        <w:rPr>
          <w:rFonts w:hint="default" w:ascii="Times New Roman" w:hAnsi="Times New Roman" w:eastAsia="仿宋_GB2312" w:cs="Times New Roman"/>
          <w:b/>
          <w:bCs/>
          <w:color w:val="auto"/>
          <w:sz w:val="32"/>
          <w:szCs w:val="32"/>
          <w:highlight w:val="none"/>
          <w:lang w:val="en-US" w:eastAsia="zh-CN"/>
        </w:rPr>
        <w:t>一</w:t>
      </w:r>
      <w:r>
        <w:rPr>
          <w:rFonts w:hint="default" w:ascii="Times New Roman" w:hAnsi="Times New Roman" w:eastAsia="仿宋_GB2312" w:cs="Times New Roman"/>
          <w:b/>
          <w:bCs/>
          <w:color w:val="auto"/>
          <w:sz w:val="32"/>
          <w:szCs w:val="32"/>
          <w:highlight w:val="none"/>
        </w:rPr>
        <w:t>条</w:t>
      </w:r>
      <w:r>
        <w:rPr>
          <w:rFonts w:hint="default" w:ascii="Times New Roman" w:hAnsi="Times New Roman" w:eastAsia="仿宋_GB2312" w:cs="Times New Roman"/>
          <w:color w:val="auto"/>
          <w:sz w:val="32"/>
          <w:szCs w:val="32"/>
          <w:highlight w:val="none"/>
        </w:rPr>
        <w:t xml:space="preserve"> 办公室在收到异议材料后5个工作日内完成形式审查，符合要求的予以受理并组织核查；核查工作应在受理后25个工作日内完成，形成核查意见报委员会审议。委员会在收到核查意见后10个工作日内作出处理决定，由办公室向异议提出方出具书面答复，自受理异议之日起至作出处理决定并答复的总时限不超过40个工作日</w:t>
      </w:r>
      <w:r>
        <w:rPr>
          <w:rFonts w:hint="default" w:ascii="Times New Roman" w:hAnsi="Times New Roman" w:eastAsia="仿宋_GB2312" w:cs="Times New Roman"/>
          <w:color w:val="auto"/>
          <w:sz w:val="32"/>
          <w:szCs w:val="32"/>
          <w:highlight w:val="none"/>
          <w:lang w:eastAsia="zh-CN"/>
        </w:rPr>
        <w:t>。</w:t>
      </w:r>
    </w:p>
    <w:p w14:paraId="1947BE7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p>
    <w:p w14:paraId="098DFD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第七章 监督管理</w:t>
      </w:r>
    </w:p>
    <w:p w14:paraId="3D9E575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eastAsia="zh-CN"/>
        </w:rPr>
        <w:t>第二十</w:t>
      </w:r>
      <w:r>
        <w:rPr>
          <w:rFonts w:hint="default" w:ascii="Times New Roman" w:hAnsi="Times New Roman" w:eastAsia="仿宋_GB2312" w:cs="Times New Roman"/>
          <w:b/>
          <w:bCs/>
          <w:color w:val="auto"/>
          <w:sz w:val="32"/>
          <w:szCs w:val="32"/>
          <w:highlight w:val="none"/>
          <w:lang w:val="en-US" w:eastAsia="zh-CN"/>
        </w:rPr>
        <w:t>二</w:t>
      </w:r>
      <w:r>
        <w:rPr>
          <w:rFonts w:hint="default" w:ascii="Times New Roman" w:hAnsi="Times New Roman" w:eastAsia="仿宋_GB2312" w:cs="Times New Roman"/>
          <w:b/>
          <w:bCs/>
          <w:color w:val="auto"/>
          <w:sz w:val="32"/>
          <w:szCs w:val="32"/>
          <w:highlight w:val="none"/>
          <w:lang w:eastAsia="zh-CN"/>
        </w:rPr>
        <w:t>条</w:t>
      </w:r>
      <w:r>
        <w:rPr>
          <w:rFonts w:hint="default" w:ascii="Times New Roman" w:hAnsi="Times New Roman" w:eastAsia="仿宋_GB2312" w:cs="Times New Roman"/>
          <w:color w:val="auto"/>
          <w:sz w:val="32"/>
          <w:szCs w:val="32"/>
          <w:highlight w:val="none"/>
          <w:lang w:eastAsia="zh-CN"/>
        </w:rPr>
        <w:t xml:space="preserve"> </w:t>
      </w:r>
      <w:r>
        <w:rPr>
          <w:rFonts w:hint="default" w:ascii="Times New Roman" w:hAnsi="Times New Roman" w:eastAsia="仿宋_GB2312" w:cs="Times New Roman"/>
          <w:color w:val="auto"/>
          <w:sz w:val="32"/>
          <w:szCs w:val="32"/>
          <w:highlight w:val="none"/>
          <w:lang w:val="en-US" w:eastAsia="zh-CN"/>
        </w:rPr>
        <w:t>本奖项</w:t>
      </w:r>
      <w:r>
        <w:rPr>
          <w:rFonts w:hint="default" w:ascii="Times New Roman" w:hAnsi="Times New Roman" w:eastAsia="仿宋_GB2312" w:cs="Times New Roman"/>
          <w:color w:val="auto"/>
          <w:sz w:val="32"/>
          <w:szCs w:val="32"/>
          <w:highlight w:val="none"/>
          <w:lang w:eastAsia="zh-CN"/>
        </w:rPr>
        <w:t>每年评审奖励工作完成1个月内，书面向广东省</w:t>
      </w:r>
      <w:r>
        <w:rPr>
          <w:rFonts w:hint="default" w:ascii="Times New Roman" w:hAnsi="Times New Roman" w:eastAsia="仿宋_GB2312" w:cs="Times New Roman"/>
          <w:color w:val="auto"/>
          <w:sz w:val="32"/>
          <w:szCs w:val="32"/>
          <w:highlight w:val="none"/>
          <w:lang w:val="en-US" w:eastAsia="zh-CN"/>
        </w:rPr>
        <w:t>科学</w:t>
      </w:r>
      <w:r>
        <w:rPr>
          <w:rFonts w:hint="default" w:ascii="Times New Roman" w:hAnsi="Times New Roman" w:eastAsia="仿宋_GB2312" w:cs="Times New Roman"/>
          <w:color w:val="auto"/>
          <w:sz w:val="32"/>
          <w:szCs w:val="32"/>
          <w:highlight w:val="none"/>
          <w:lang w:eastAsia="zh-CN"/>
        </w:rPr>
        <w:t>技术厅报送获奖名单和奖励工作报告。</w:t>
      </w:r>
    </w:p>
    <w:p w14:paraId="7C85AA0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eastAsia="zh-CN"/>
        </w:rPr>
        <w:t>第二十</w:t>
      </w:r>
      <w:r>
        <w:rPr>
          <w:rFonts w:hint="default" w:ascii="Times New Roman" w:hAnsi="Times New Roman" w:eastAsia="仿宋_GB2312" w:cs="Times New Roman"/>
          <w:b/>
          <w:bCs/>
          <w:color w:val="auto"/>
          <w:sz w:val="32"/>
          <w:szCs w:val="32"/>
          <w:highlight w:val="none"/>
          <w:lang w:val="en-US" w:eastAsia="zh-CN"/>
        </w:rPr>
        <w:t>三</w:t>
      </w:r>
      <w:r>
        <w:rPr>
          <w:rFonts w:hint="default" w:ascii="Times New Roman" w:hAnsi="Times New Roman" w:eastAsia="仿宋_GB2312" w:cs="Times New Roman"/>
          <w:b/>
          <w:bCs/>
          <w:color w:val="auto"/>
          <w:sz w:val="32"/>
          <w:szCs w:val="32"/>
          <w:highlight w:val="none"/>
          <w:lang w:eastAsia="zh-CN"/>
        </w:rPr>
        <w:t>条</w:t>
      </w:r>
      <w:r>
        <w:rPr>
          <w:rFonts w:hint="default" w:ascii="Times New Roman" w:hAnsi="Times New Roman" w:eastAsia="仿宋_GB2312" w:cs="Times New Roman"/>
          <w:color w:val="auto"/>
          <w:sz w:val="32"/>
          <w:szCs w:val="32"/>
          <w:highlight w:val="none"/>
          <w:lang w:eastAsia="zh-CN"/>
        </w:rPr>
        <w:t xml:space="preserve"> 广东省质量协会授予的质量技术奖荣誉、授奖证书不作为确定质量技术成果权属的直接依据。</w:t>
      </w:r>
    </w:p>
    <w:p w14:paraId="2249FFC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eastAsia="zh-CN"/>
        </w:rPr>
        <w:t>第二十</w:t>
      </w:r>
      <w:r>
        <w:rPr>
          <w:rFonts w:hint="default" w:ascii="Times New Roman" w:hAnsi="Times New Roman" w:eastAsia="仿宋_GB2312" w:cs="Times New Roman"/>
          <w:b/>
          <w:bCs/>
          <w:color w:val="auto"/>
          <w:sz w:val="32"/>
          <w:szCs w:val="32"/>
          <w:highlight w:val="none"/>
          <w:lang w:val="en-US" w:eastAsia="zh-CN"/>
        </w:rPr>
        <w:t>四</w:t>
      </w:r>
      <w:r>
        <w:rPr>
          <w:rFonts w:hint="default" w:ascii="Times New Roman" w:hAnsi="Times New Roman" w:eastAsia="仿宋_GB2312" w:cs="Times New Roman"/>
          <w:b/>
          <w:bCs/>
          <w:color w:val="auto"/>
          <w:sz w:val="32"/>
          <w:szCs w:val="32"/>
          <w:highlight w:val="none"/>
          <w:lang w:eastAsia="zh-CN"/>
        </w:rPr>
        <w:t>条</w:t>
      </w:r>
      <w:r>
        <w:rPr>
          <w:rFonts w:hint="default" w:ascii="Times New Roman" w:hAnsi="Times New Roman" w:eastAsia="仿宋_GB2312" w:cs="Times New Roman"/>
          <w:color w:val="auto"/>
          <w:sz w:val="32"/>
          <w:szCs w:val="32"/>
          <w:highlight w:val="none"/>
          <w:lang w:eastAsia="zh-CN"/>
        </w:rPr>
        <w:t xml:space="preserve"> 申报组织或个人提供虚假材料，剽窃、侵夺他人的质量技术成果，或以其他不正当手段骗取质量技术奖的，一经查实取消其申报资格。如已授奖的，撤销奖励，追回奖牌、证书及</w:t>
      </w:r>
      <w:r>
        <w:rPr>
          <w:rFonts w:hint="eastAsia" w:ascii="Times New Roman" w:hAnsi="Times New Roman" w:eastAsia="仿宋_GB2312" w:cs="Times New Roman"/>
          <w:color w:val="auto"/>
          <w:sz w:val="32"/>
          <w:szCs w:val="32"/>
          <w:highlight w:val="none"/>
          <w:lang w:eastAsia="zh-CN"/>
        </w:rPr>
        <w:t>物质奖励</w:t>
      </w:r>
      <w:r>
        <w:rPr>
          <w:rFonts w:hint="default" w:ascii="Times New Roman" w:hAnsi="Times New Roman" w:eastAsia="仿宋_GB2312" w:cs="Times New Roman"/>
          <w:color w:val="auto"/>
          <w:sz w:val="32"/>
          <w:szCs w:val="32"/>
          <w:highlight w:val="none"/>
          <w:lang w:eastAsia="zh-CN"/>
        </w:rPr>
        <w:t>（如有），5年内不得申报本奖项并向社会公告。</w:t>
      </w:r>
    </w:p>
    <w:p w14:paraId="5501255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eastAsia="zh-CN"/>
        </w:rPr>
        <w:t>第二十</w:t>
      </w:r>
      <w:r>
        <w:rPr>
          <w:rFonts w:hint="default" w:ascii="Times New Roman" w:hAnsi="Times New Roman" w:eastAsia="仿宋_GB2312" w:cs="Times New Roman"/>
          <w:b/>
          <w:bCs/>
          <w:color w:val="auto"/>
          <w:sz w:val="32"/>
          <w:szCs w:val="32"/>
          <w:highlight w:val="none"/>
          <w:lang w:val="en-US" w:eastAsia="zh-CN"/>
        </w:rPr>
        <w:t>五</w:t>
      </w:r>
      <w:r>
        <w:rPr>
          <w:rFonts w:hint="default" w:ascii="Times New Roman" w:hAnsi="Times New Roman" w:eastAsia="仿宋_GB2312" w:cs="Times New Roman"/>
          <w:b/>
          <w:bCs/>
          <w:color w:val="auto"/>
          <w:sz w:val="32"/>
          <w:szCs w:val="32"/>
          <w:highlight w:val="none"/>
          <w:lang w:eastAsia="zh-CN"/>
        </w:rPr>
        <w:t>条</w:t>
      </w:r>
      <w:r>
        <w:rPr>
          <w:rFonts w:hint="default" w:ascii="Times New Roman" w:hAnsi="Times New Roman" w:eastAsia="仿宋_GB2312" w:cs="Times New Roman"/>
          <w:color w:val="auto"/>
          <w:sz w:val="32"/>
          <w:szCs w:val="32"/>
          <w:highlight w:val="none"/>
          <w:lang w:eastAsia="zh-CN"/>
        </w:rPr>
        <w:t xml:space="preserve"> 推荐组织或参与评审活动的专家、有关工作人员在评审活动中弄虚作假、徇私舞弊，协助他人骗取质量技术奖的，视情节轻重予以批评、暂停或取消其参与</w:t>
      </w:r>
      <w:r>
        <w:rPr>
          <w:rFonts w:hint="default" w:ascii="Times New Roman" w:hAnsi="Times New Roman" w:eastAsia="仿宋_GB2312" w:cs="Times New Roman"/>
          <w:color w:val="auto"/>
          <w:sz w:val="32"/>
          <w:szCs w:val="32"/>
          <w:highlight w:val="none"/>
          <w:lang w:val="en-US" w:eastAsia="zh-CN"/>
        </w:rPr>
        <w:t>本奖项</w:t>
      </w:r>
      <w:r>
        <w:rPr>
          <w:rFonts w:hint="default" w:ascii="Times New Roman" w:hAnsi="Times New Roman" w:eastAsia="仿宋_GB2312" w:cs="Times New Roman"/>
          <w:color w:val="auto"/>
          <w:sz w:val="32"/>
          <w:szCs w:val="32"/>
          <w:highlight w:val="none"/>
          <w:lang w:eastAsia="zh-CN"/>
        </w:rPr>
        <w:t>工作的资格。情节特别严重的，按国家有关法律法规处理。</w:t>
      </w:r>
    </w:p>
    <w:p w14:paraId="7819060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sz w:val="32"/>
          <w:szCs w:val="32"/>
          <w:highlight w:val="none"/>
          <w:lang w:eastAsia="zh-CN"/>
        </w:rPr>
      </w:pPr>
    </w:p>
    <w:p w14:paraId="39FFAB8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第八章 附则</w:t>
      </w:r>
    </w:p>
    <w:p w14:paraId="3958270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eastAsia="zh-CN"/>
        </w:rPr>
        <w:t>第二十</w:t>
      </w:r>
      <w:r>
        <w:rPr>
          <w:rFonts w:hint="default" w:ascii="Times New Roman" w:hAnsi="Times New Roman" w:eastAsia="仿宋_GB2312" w:cs="Times New Roman"/>
          <w:b/>
          <w:bCs/>
          <w:color w:val="auto"/>
          <w:sz w:val="32"/>
          <w:szCs w:val="32"/>
          <w:highlight w:val="none"/>
          <w:lang w:val="en-US" w:eastAsia="zh-CN"/>
        </w:rPr>
        <w:t>六</w:t>
      </w:r>
      <w:r>
        <w:rPr>
          <w:rFonts w:hint="default" w:ascii="Times New Roman" w:hAnsi="Times New Roman" w:eastAsia="仿宋_GB2312" w:cs="Times New Roman"/>
          <w:b/>
          <w:bCs/>
          <w:color w:val="auto"/>
          <w:sz w:val="32"/>
          <w:szCs w:val="32"/>
          <w:highlight w:val="none"/>
          <w:lang w:eastAsia="zh-CN"/>
        </w:rPr>
        <w:t>条</w:t>
      </w:r>
      <w:r>
        <w:rPr>
          <w:rFonts w:hint="default" w:ascii="Times New Roman" w:hAnsi="Times New Roman" w:eastAsia="仿宋_GB2312" w:cs="Times New Roman"/>
          <w:color w:val="auto"/>
          <w:sz w:val="32"/>
          <w:szCs w:val="32"/>
          <w:highlight w:val="none"/>
          <w:lang w:eastAsia="zh-CN"/>
        </w:rPr>
        <w:t xml:space="preserve"> </w:t>
      </w:r>
      <w:r>
        <w:rPr>
          <w:rFonts w:hint="default" w:ascii="Times New Roman" w:hAnsi="Times New Roman" w:eastAsia="仿宋_GB2312" w:cs="Times New Roman"/>
          <w:color w:val="auto"/>
          <w:sz w:val="32"/>
          <w:szCs w:val="32"/>
          <w:highlight w:val="none"/>
          <w:lang w:val="en-US" w:eastAsia="zh-CN"/>
        </w:rPr>
        <w:t>本奖项</w:t>
      </w:r>
      <w:r>
        <w:rPr>
          <w:rFonts w:hint="default" w:ascii="Times New Roman" w:hAnsi="Times New Roman" w:eastAsia="仿宋_GB2312" w:cs="Times New Roman"/>
          <w:color w:val="auto"/>
          <w:sz w:val="32"/>
          <w:szCs w:val="32"/>
          <w:highlight w:val="none"/>
          <w:lang w:eastAsia="zh-CN"/>
        </w:rPr>
        <w:t>相关人员、专家应对申报项目的技术内容及评审情况履行严格保守秘密的义务。</w:t>
      </w:r>
    </w:p>
    <w:p w14:paraId="200B079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eastAsia="zh-CN"/>
        </w:rPr>
        <w:t>第二十</w:t>
      </w:r>
      <w:r>
        <w:rPr>
          <w:rFonts w:hint="default" w:ascii="Times New Roman" w:hAnsi="Times New Roman" w:eastAsia="仿宋_GB2312" w:cs="Times New Roman"/>
          <w:b/>
          <w:bCs/>
          <w:color w:val="auto"/>
          <w:sz w:val="32"/>
          <w:szCs w:val="32"/>
          <w:highlight w:val="none"/>
          <w:lang w:val="en-US" w:eastAsia="zh-CN"/>
        </w:rPr>
        <w:t>七</w:t>
      </w:r>
      <w:r>
        <w:rPr>
          <w:rFonts w:hint="default" w:ascii="Times New Roman" w:hAnsi="Times New Roman" w:eastAsia="仿宋_GB2312" w:cs="Times New Roman"/>
          <w:b/>
          <w:bCs/>
          <w:color w:val="auto"/>
          <w:sz w:val="32"/>
          <w:szCs w:val="32"/>
          <w:highlight w:val="none"/>
          <w:lang w:eastAsia="zh-CN"/>
        </w:rPr>
        <w:t>条</w:t>
      </w:r>
      <w:r>
        <w:rPr>
          <w:rFonts w:hint="default" w:ascii="Times New Roman" w:hAnsi="Times New Roman" w:eastAsia="仿宋_GB2312" w:cs="Times New Roman"/>
          <w:color w:val="auto"/>
          <w:sz w:val="32"/>
          <w:szCs w:val="32"/>
          <w:highlight w:val="none"/>
          <w:lang w:eastAsia="zh-CN"/>
        </w:rPr>
        <w:t xml:space="preserve"> 坚持以公益为本，精神奖励与</w:t>
      </w:r>
      <w:r>
        <w:rPr>
          <w:rFonts w:hint="eastAsia" w:ascii="Times New Roman" w:hAnsi="Times New Roman" w:eastAsia="仿宋_GB2312" w:cs="Times New Roman"/>
          <w:color w:val="auto"/>
          <w:sz w:val="32"/>
          <w:szCs w:val="32"/>
          <w:highlight w:val="none"/>
          <w:lang w:eastAsia="zh-CN"/>
        </w:rPr>
        <w:t>物质奖励</w:t>
      </w:r>
      <w:r>
        <w:rPr>
          <w:rFonts w:hint="default" w:ascii="Times New Roman" w:hAnsi="Times New Roman" w:eastAsia="仿宋_GB2312" w:cs="Times New Roman"/>
          <w:color w:val="auto"/>
          <w:sz w:val="32"/>
          <w:szCs w:val="32"/>
          <w:highlight w:val="none"/>
          <w:lang w:eastAsia="zh-CN"/>
        </w:rPr>
        <w:t>相结合的原则，不收取费用。经费来源为广东省质量协会自筹资金，并可接受来自社会各界关心支持我省质量技术事业</w:t>
      </w:r>
      <w:r>
        <w:rPr>
          <w:rFonts w:hint="default" w:ascii="Times New Roman" w:hAnsi="Times New Roman" w:eastAsia="仿宋_GB2312" w:cs="Times New Roman"/>
          <w:color w:val="auto"/>
          <w:sz w:val="32"/>
          <w:szCs w:val="32"/>
          <w:highlight w:val="none"/>
          <w:lang w:val="en-US" w:eastAsia="zh-CN"/>
        </w:rPr>
        <w:t>发展</w:t>
      </w:r>
      <w:r>
        <w:rPr>
          <w:rFonts w:hint="default" w:ascii="Times New Roman" w:hAnsi="Times New Roman" w:eastAsia="仿宋_GB2312" w:cs="Times New Roman"/>
          <w:color w:val="auto"/>
          <w:sz w:val="32"/>
          <w:szCs w:val="32"/>
          <w:highlight w:val="none"/>
          <w:lang w:eastAsia="zh-CN"/>
        </w:rPr>
        <w:t>的捐赠及资助。</w:t>
      </w:r>
    </w:p>
    <w:p w14:paraId="41F4436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eastAsia="zh-CN"/>
        </w:rPr>
        <w:t>第</w:t>
      </w:r>
      <w:r>
        <w:rPr>
          <w:rFonts w:hint="default" w:ascii="Times New Roman" w:hAnsi="Times New Roman" w:eastAsia="仿宋_GB2312" w:cs="Times New Roman"/>
          <w:b/>
          <w:bCs/>
          <w:color w:val="auto"/>
          <w:sz w:val="32"/>
          <w:szCs w:val="32"/>
          <w:highlight w:val="none"/>
          <w:lang w:val="en-US" w:eastAsia="zh-CN"/>
        </w:rPr>
        <w:t>二十八</w:t>
      </w:r>
      <w:r>
        <w:rPr>
          <w:rFonts w:hint="default" w:ascii="Times New Roman" w:hAnsi="Times New Roman" w:eastAsia="仿宋_GB2312" w:cs="Times New Roman"/>
          <w:b/>
          <w:bCs/>
          <w:color w:val="auto"/>
          <w:sz w:val="32"/>
          <w:szCs w:val="32"/>
          <w:highlight w:val="none"/>
          <w:lang w:eastAsia="zh-CN"/>
        </w:rPr>
        <w:t>条</w:t>
      </w:r>
      <w:r>
        <w:rPr>
          <w:rFonts w:hint="default" w:ascii="Times New Roman" w:hAnsi="Times New Roman" w:eastAsia="仿宋_GB2312" w:cs="Times New Roman"/>
          <w:color w:val="auto"/>
          <w:sz w:val="32"/>
          <w:szCs w:val="32"/>
          <w:highlight w:val="none"/>
          <w:lang w:eastAsia="zh-CN"/>
        </w:rPr>
        <w:t xml:space="preserve"> 本管理办法由广东省质量协会负责解释，未尽事宜由委员会审议决定；本管理办法修订需经委员会审议通过，并报广东省</w:t>
      </w:r>
      <w:r>
        <w:rPr>
          <w:rFonts w:hint="default" w:ascii="Times New Roman" w:hAnsi="Times New Roman" w:eastAsia="仿宋_GB2312" w:cs="Times New Roman"/>
          <w:color w:val="auto"/>
          <w:sz w:val="32"/>
          <w:szCs w:val="32"/>
          <w:highlight w:val="none"/>
          <w:lang w:val="en-US" w:eastAsia="zh-CN"/>
        </w:rPr>
        <w:t>科学</w:t>
      </w:r>
      <w:r>
        <w:rPr>
          <w:rFonts w:hint="default" w:ascii="Times New Roman" w:hAnsi="Times New Roman" w:eastAsia="仿宋_GB2312" w:cs="Times New Roman"/>
          <w:color w:val="auto"/>
          <w:sz w:val="32"/>
          <w:szCs w:val="32"/>
          <w:highlight w:val="none"/>
          <w:lang w:eastAsia="zh-CN"/>
        </w:rPr>
        <w:t>技术厅备案后生效，自发布之日起施行。</w:t>
      </w:r>
    </w:p>
    <w:p w14:paraId="482B3FF3">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sz w:val="32"/>
          <w:szCs w:val="32"/>
          <w:highlight w:val="none"/>
          <w:lang w:eastAsia="zh-CN"/>
        </w:rPr>
      </w:pPr>
    </w:p>
    <w:p w14:paraId="2DC29266">
      <w:pPr>
        <w:keepNext w:val="0"/>
        <w:keepLines w:val="0"/>
        <w:pageBreakBefore w:val="0"/>
        <w:widowControl w:val="0"/>
        <w:tabs>
          <w:tab w:val="left" w:pos="1565"/>
          <w:tab w:val="left" w:pos="4010"/>
          <w:tab w:val="left" w:pos="5795"/>
          <w:tab w:val="left" w:pos="7595"/>
        </w:tabs>
        <w:kinsoku/>
        <w:wordWrap/>
        <w:overflowPunct/>
        <w:topLinePunct w:val="0"/>
        <w:autoSpaceDE/>
        <w:autoSpaceDN/>
        <w:bidi w:val="0"/>
        <w:adjustRightInd/>
        <w:snapToGrid/>
        <w:spacing w:line="560" w:lineRule="exact"/>
        <w:jc w:val="left"/>
        <w:textAlignment w:val="auto"/>
        <w:rPr>
          <w:rFonts w:hint="default" w:ascii="Times New Roman" w:hAnsi="Times New Roman" w:eastAsia="方正小标宋简体" w:cs="Times New Roman"/>
          <w:color w:val="auto"/>
          <w:sz w:val="44"/>
          <w:szCs w:val="44"/>
          <w:highlight w:val="none"/>
        </w:rPr>
      </w:pPr>
    </w:p>
    <w:sectPr>
      <w:footerReference r:id="rId3" w:type="default"/>
      <w:pgSz w:w="11906" w:h="16838"/>
      <w:pgMar w:top="1757" w:right="1474" w:bottom="164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FC416EF-7B60-405F-8106-CF1B5AC055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2" w:fontKey="{E0073BE0-80BB-4C0B-BF18-D26644349541}"/>
  </w:font>
  <w:font w:name="方正小标宋简体">
    <w:panose1 w:val="02010600010101010101"/>
    <w:charset w:val="86"/>
    <w:family w:val="auto"/>
    <w:pitch w:val="default"/>
    <w:sig w:usb0="00000001" w:usb1="080E0000" w:usb2="00000000" w:usb3="00000000" w:csb0="00040000" w:csb1="00000000"/>
    <w:embedRegular r:id="rId3" w:fontKey="{9831571B-5E8B-472B-AD5A-3480F211F4F5}"/>
  </w:font>
  <w:font w:name="楷体_GB2312">
    <w:panose1 w:val="02010609030101010101"/>
    <w:charset w:val="86"/>
    <w:family w:val="auto"/>
    <w:pitch w:val="default"/>
    <w:sig w:usb0="00000001" w:usb1="080E0000" w:usb2="00000000" w:usb3="00000000" w:csb0="00040000" w:csb1="00000000"/>
    <w:embedRegular r:id="rId4" w:fontKey="{55B29C1B-AA60-4788-85FB-02E4C4461571}"/>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42578398"/>
    </w:sdtPr>
    <w:sdtContent>
      <w:p w14:paraId="57570827">
        <w:pPr>
          <w:pStyle w:val="9"/>
          <w:jc w:val="cente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10</w:t>
        </w:r>
        <w:r>
          <w:rPr>
            <w:sz w:val="24"/>
            <w:szCs w:val="24"/>
          </w:rPr>
          <w:fldChar w:fldCharType="end"/>
        </w:r>
      </w:p>
    </w:sdtContent>
  </w:sdt>
  <w:p w14:paraId="5565637A">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wYTkzMzczOTFjYTFhYWU1MjhkNTBkYjk5ZGM1MWYifQ=="/>
  </w:docVars>
  <w:rsids>
    <w:rsidRoot w:val="00130846"/>
    <w:rsid w:val="000009DB"/>
    <w:rsid w:val="00036288"/>
    <w:rsid w:val="0004206C"/>
    <w:rsid w:val="00084E90"/>
    <w:rsid w:val="00097098"/>
    <w:rsid w:val="000A1A3E"/>
    <w:rsid w:val="000E3B52"/>
    <w:rsid w:val="00130846"/>
    <w:rsid w:val="0016442B"/>
    <w:rsid w:val="0016756A"/>
    <w:rsid w:val="001B700F"/>
    <w:rsid w:val="00226A41"/>
    <w:rsid w:val="002366FD"/>
    <w:rsid w:val="0026575E"/>
    <w:rsid w:val="0027057F"/>
    <w:rsid w:val="00277112"/>
    <w:rsid w:val="00284F58"/>
    <w:rsid w:val="002A2805"/>
    <w:rsid w:val="002B76DD"/>
    <w:rsid w:val="002D0273"/>
    <w:rsid w:val="002D7882"/>
    <w:rsid w:val="002E3AFB"/>
    <w:rsid w:val="002F6242"/>
    <w:rsid w:val="003060F7"/>
    <w:rsid w:val="00337ABE"/>
    <w:rsid w:val="003A2748"/>
    <w:rsid w:val="003E711C"/>
    <w:rsid w:val="003F0E51"/>
    <w:rsid w:val="003F1B43"/>
    <w:rsid w:val="00425D2C"/>
    <w:rsid w:val="004420A6"/>
    <w:rsid w:val="004C4AFB"/>
    <w:rsid w:val="004D2B18"/>
    <w:rsid w:val="004E74E2"/>
    <w:rsid w:val="004F56ED"/>
    <w:rsid w:val="00510DF9"/>
    <w:rsid w:val="00514956"/>
    <w:rsid w:val="0051730F"/>
    <w:rsid w:val="005213BD"/>
    <w:rsid w:val="00554DA1"/>
    <w:rsid w:val="00555325"/>
    <w:rsid w:val="00565993"/>
    <w:rsid w:val="00576E4A"/>
    <w:rsid w:val="00590FBE"/>
    <w:rsid w:val="005A2D64"/>
    <w:rsid w:val="005C7FD0"/>
    <w:rsid w:val="005F142B"/>
    <w:rsid w:val="005F3677"/>
    <w:rsid w:val="005F3C3C"/>
    <w:rsid w:val="00603BC5"/>
    <w:rsid w:val="00625824"/>
    <w:rsid w:val="0063111D"/>
    <w:rsid w:val="0064303F"/>
    <w:rsid w:val="00664ED1"/>
    <w:rsid w:val="00695931"/>
    <w:rsid w:val="006B352B"/>
    <w:rsid w:val="006C65F6"/>
    <w:rsid w:val="006D2E0A"/>
    <w:rsid w:val="00700CD3"/>
    <w:rsid w:val="00700F5E"/>
    <w:rsid w:val="00747874"/>
    <w:rsid w:val="00762C97"/>
    <w:rsid w:val="0076371C"/>
    <w:rsid w:val="00764860"/>
    <w:rsid w:val="00773339"/>
    <w:rsid w:val="0079680F"/>
    <w:rsid w:val="007E6C78"/>
    <w:rsid w:val="007F1ACA"/>
    <w:rsid w:val="007F43E5"/>
    <w:rsid w:val="007F52B9"/>
    <w:rsid w:val="00812958"/>
    <w:rsid w:val="00823D17"/>
    <w:rsid w:val="00873601"/>
    <w:rsid w:val="00877172"/>
    <w:rsid w:val="008825FF"/>
    <w:rsid w:val="00883F3C"/>
    <w:rsid w:val="00886C73"/>
    <w:rsid w:val="00895239"/>
    <w:rsid w:val="008C3493"/>
    <w:rsid w:val="00944498"/>
    <w:rsid w:val="00945BB3"/>
    <w:rsid w:val="0098251F"/>
    <w:rsid w:val="00991C18"/>
    <w:rsid w:val="009B70A8"/>
    <w:rsid w:val="009C0541"/>
    <w:rsid w:val="009C5A79"/>
    <w:rsid w:val="009D1D64"/>
    <w:rsid w:val="009D3ADE"/>
    <w:rsid w:val="009D76B9"/>
    <w:rsid w:val="00A20861"/>
    <w:rsid w:val="00A518DC"/>
    <w:rsid w:val="00A530A4"/>
    <w:rsid w:val="00A67350"/>
    <w:rsid w:val="00A71849"/>
    <w:rsid w:val="00A9531C"/>
    <w:rsid w:val="00AD2758"/>
    <w:rsid w:val="00B136BE"/>
    <w:rsid w:val="00B1528A"/>
    <w:rsid w:val="00B37D48"/>
    <w:rsid w:val="00B53B7D"/>
    <w:rsid w:val="00B620D0"/>
    <w:rsid w:val="00B972C4"/>
    <w:rsid w:val="00BC7567"/>
    <w:rsid w:val="00C52017"/>
    <w:rsid w:val="00C80E31"/>
    <w:rsid w:val="00C84EE9"/>
    <w:rsid w:val="00CD79F3"/>
    <w:rsid w:val="00D41B16"/>
    <w:rsid w:val="00D5248B"/>
    <w:rsid w:val="00D55088"/>
    <w:rsid w:val="00D74ADA"/>
    <w:rsid w:val="00D8078A"/>
    <w:rsid w:val="00D81BAE"/>
    <w:rsid w:val="00DA0759"/>
    <w:rsid w:val="00DD07E2"/>
    <w:rsid w:val="00DF0360"/>
    <w:rsid w:val="00E26C97"/>
    <w:rsid w:val="00E30527"/>
    <w:rsid w:val="00E85FE9"/>
    <w:rsid w:val="00E911D8"/>
    <w:rsid w:val="00E95F58"/>
    <w:rsid w:val="00E96180"/>
    <w:rsid w:val="00EA0769"/>
    <w:rsid w:val="00EA3C62"/>
    <w:rsid w:val="00EB71CE"/>
    <w:rsid w:val="00EC58C6"/>
    <w:rsid w:val="00F01AE7"/>
    <w:rsid w:val="00F179C7"/>
    <w:rsid w:val="00F423B3"/>
    <w:rsid w:val="00F64EC0"/>
    <w:rsid w:val="00F67B5A"/>
    <w:rsid w:val="00F73DC1"/>
    <w:rsid w:val="00F93E52"/>
    <w:rsid w:val="00FA0D96"/>
    <w:rsid w:val="00FA52CA"/>
    <w:rsid w:val="00FB0008"/>
    <w:rsid w:val="013849DB"/>
    <w:rsid w:val="01C22A70"/>
    <w:rsid w:val="02D36DFE"/>
    <w:rsid w:val="035E2B6B"/>
    <w:rsid w:val="043F299D"/>
    <w:rsid w:val="0491110B"/>
    <w:rsid w:val="04AA43CB"/>
    <w:rsid w:val="04AE7119"/>
    <w:rsid w:val="04FF3EDA"/>
    <w:rsid w:val="051536FE"/>
    <w:rsid w:val="0529331B"/>
    <w:rsid w:val="0543026B"/>
    <w:rsid w:val="055F2BCB"/>
    <w:rsid w:val="05892B82"/>
    <w:rsid w:val="05EE09C7"/>
    <w:rsid w:val="062E1E31"/>
    <w:rsid w:val="06712BB6"/>
    <w:rsid w:val="07005796"/>
    <w:rsid w:val="07312BEB"/>
    <w:rsid w:val="07716E2C"/>
    <w:rsid w:val="07CF4038"/>
    <w:rsid w:val="07E65C42"/>
    <w:rsid w:val="0860412A"/>
    <w:rsid w:val="086C1887"/>
    <w:rsid w:val="08C369CC"/>
    <w:rsid w:val="08EB6C4F"/>
    <w:rsid w:val="08F16230"/>
    <w:rsid w:val="093525C0"/>
    <w:rsid w:val="09AF4121"/>
    <w:rsid w:val="09C92DC5"/>
    <w:rsid w:val="0A352BD7"/>
    <w:rsid w:val="0B285151"/>
    <w:rsid w:val="0B832C72"/>
    <w:rsid w:val="0B8C7C53"/>
    <w:rsid w:val="0B900A56"/>
    <w:rsid w:val="0BE77042"/>
    <w:rsid w:val="0BE856C8"/>
    <w:rsid w:val="0BF93F10"/>
    <w:rsid w:val="0C1B70B4"/>
    <w:rsid w:val="0C7D4C8B"/>
    <w:rsid w:val="0C80425C"/>
    <w:rsid w:val="0CEC4112"/>
    <w:rsid w:val="0D296A38"/>
    <w:rsid w:val="0D7F02AE"/>
    <w:rsid w:val="0D973196"/>
    <w:rsid w:val="0D9D2BDA"/>
    <w:rsid w:val="0E6A2796"/>
    <w:rsid w:val="0E6B221A"/>
    <w:rsid w:val="0E713C1E"/>
    <w:rsid w:val="0E7C659C"/>
    <w:rsid w:val="0E8E3649"/>
    <w:rsid w:val="0EB655AC"/>
    <w:rsid w:val="0ECA1564"/>
    <w:rsid w:val="0ED40186"/>
    <w:rsid w:val="0F2E0B64"/>
    <w:rsid w:val="0F2F4F61"/>
    <w:rsid w:val="0F657030"/>
    <w:rsid w:val="0F73513F"/>
    <w:rsid w:val="0FA77648"/>
    <w:rsid w:val="0FDC5544"/>
    <w:rsid w:val="0FED0433"/>
    <w:rsid w:val="10F60C3C"/>
    <w:rsid w:val="117513B4"/>
    <w:rsid w:val="11765524"/>
    <w:rsid w:val="117F087D"/>
    <w:rsid w:val="11851C0B"/>
    <w:rsid w:val="11EB6633"/>
    <w:rsid w:val="120B3EBE"/>
    <w:rsid w:val="131D659F"/>
    <w:rsid w:val="136715C8"/>
    <w:rsid w:val="13DC4AFC"/>
    <w:rsid w:val="14DB1172"/>
    <w:rsid w:val="15343688"/>
    <w:rsid w:val="15CC1D5A"/>
    <w:rsid w:val="15DE3A12"/>
    <w:rsid w:val="161C3326"/>
    <w:rsid w:val="164F454F"/>
    <w:rsid w:val="16652847"/>
    <w:rsid w:val="168F3128"/>
    <w:rsid w:val="169C2883"/>
    <w:rsid w:val="169E1A2D"/>
    <w:rsid w:val="178F599F"/>
    <w:rsid w:val="17AC7EF2"/>
    <w:rsid w:val="17EE4066"/>
    <w:rsid w:val="17FE778B"/>
    <w:rsid w:val="184B6186"/>
    <w:rsid w:val="192819C2"/>
    <w:rsid w:val="198C55BA"/>
    <w:rsid w:val="1A5A59A4"/>
    <w:rsid w:val="1AA03E77"/>
    <w:rsid w:val="1AB23A71"/>
    <w:rsid w:val="1B067919"/>
    <w:rsid w:val="1B0D73F2"/>
    <w:rsid w:val="1B397375"/>
    <w:rsid w:val="1B77726E"/>
    <w:rsid w:val="1B932335"/>
    <w:rsid w:val="1BA84E74"/>
    <w:rsid w:val="1BD1287E"/>
    <w:rsid w:val="1C054074"/>
    <w:rsid w:val="1CB33AD0"/>
    <w:rsid w:val="1CB3762C"/>
    <w:rsid w:val="1CB6536F"/>
    <w:rsid w:val="1D586AD6"/>
    <w:rsid w:val="1DF63C75"/>
    <w:rsid w:val="1E512964"/>
    <w:rsid w:val="1EC024D4"/>
    <w:rsid w:val="1ED57D2E"/>
    <w:rsid w:val="1F0F08F5"/>
    <w:rsid w:val="1F66492C"/>
    <w:rsid w:val="208C08C0"/>
    <w:rsid w:val="209508F0"/>
    <w:rsid w:val="20EE2907"/>
    <w:rsid w:val="21477726"/>
    <w:rsid w:val="215528C8"/>
    <w:rsid w:val="21820E4E"/>
    <w:rsid w:val="22002342"/>
    <w:rsid w:val="221E1899"/>
    <w:rsid w:val="22384EC4"/>
    <w:rsid w:val="223D0D16"/>
    <w:rsid w:val="22435D1B"/>
    <w:rsid w:val="22857CBD"/>
    <w:rsid w:val="22A85759"/>
    <w:rsid w:val="2304505A"/>
    <w:rsid w:val="232748D0"/>
    <w:rsid w:val="23871813"/>
    <w:rsid w:val="23D27BF4"/>
    <w:rsid w:val="23E26A49"/>
    <w:rsid w:val="24547947"/>
    <w:rsid w:val="246664D9"/>
    <w:rsid w:val="249A1C34"/>
    <w:rsid w:val="26010F9A"/>
    <w:rsid w:val="262E41C8"/>
    <w:rsid w:val="27392F44"/>
    <w:rsid w:val="274545B4"/>
    <w:rsid w:val="2752510C"/>
    <w:rsid w:val="27871DE1"/>
    <w:rsid w:val="27DA2C94"/>
    <w:rsid w:val="282F4953"/>
    <w:rsid w:val="284E28FF"/>
    <w:rsid w:val="28A013AD"/>
    <w:rsid w:val="28B249EC"/>
    <w:rsid w:val="28E726AB"/>
    <w:rsid w:val="2910036C"/>
    <w:rsid w:val="29712D49"/>
    <w:rsid w:val="29B622DF"/>
    <w:rsid w:val="2A7A2C1E"/>
    <w:rsid w:val="2A856B3D"/>
    <w:rsid w:val="2B551C93"/>
    <w:rsid w:val="2B966ADB"/>
    <w:rsid w:val="2BC856FF"/>
    <w:rsid w:val="2C161986"/>
    <w:rsid w:val="2C332538"/>
    <w:rsid w:val="2C46226B"/>
    <w:rsid w:val="2C6646BB"/>
    <w:rsid w:val="2C6E17C2"/>
    <w:rsid w:val="2C872E71"/>
    <w:rsid w:val="2C9A3964"/>
    <w:rsid w:val="2CD71115"/>
    <w:rsid w:val="2CF63C91"/>
    <w:rsid w:val="2D6E000B"/>
    <w:rsid w:val="2DAC25A2"/>
    <w:rsid w:val="2DB574E2"/>
    <w:rsid w:val="2EC456C9"/>
    <w:rsid w:val="2EE03FC4"/>
    <w:rsid w:val="2F442435"/>
    <w:rsid w:val="2FB105DD"/>
    <w:rsid w:val="2FE51173"/>
    <w:rsid w:val="301C483C"/>
    <w:rsid w:val="305303BD"/>
    <w:rsid w:val="305C526D"/>
    <w:rsid w:val="306C2589"/>
    <w:rsid w:val="31556AAC"/>
    <w:rsid w:val="31C76148"/>
    <w:rsid w:val="31CA1248"/>
    <w:rsid w:val="324403F9"/>
    <w:rsid w:val="329D6A39"/>
    <w:rsid w:val="32B33323"/>
    <w:rsid w:val="32CB5278"/>
    <w:rsid w:val="336B0809"/>
    <w:rsid w:val="339936B6"/>
    <w:rsid w:val="34757B91"/>
    <w:rsid w:val="34892052"/>
    <w:rsid w:val="34DA29BA"/>
    <w:rsid w:val="35106685"/>
    <w:rsid w:val="353972D0"/>
    <w:rsid w:val="35F16B37"/>
    <w:rsid w:val="363E3FB3"/>
    <w:rsid w:val="36413AA3"/>
    <w:rsid w:val="36F11025"/>
    <w:rsid w:val="36FC087B"/>
    <w:rsid w:val="374B6987"/>
    <w:rsid w:val="37832661"/>
    <w:rsid w:val="37C941F0"/>
    <w:rsid w:val="38633166"/>
    <w:rsid w:val="386439C5"/>
    <w:rsid w:val="38B8509E"/>
    <w:rsid w:val="38D862A6"/>
    <w:rsid w:val="38E013A8"/>
    <w:rsid w:val="38F431BA"/>
    <w:rsid w:val="391B4A7F"/>
    <w:rsid w:val="39640156"/>
    <w:rsid w:val="399B02E5"/>
    <w:rsid w:val="3A8C4818"/>
    <w:rsid w:val="3AD35612"/>
    <w:rsid w:val="3AE113B1"/>
    <w:rsid w:val="3B3A4B10"/>
    <w:rsid w:val="3B872D8B"/>
    <w:rsid w:val="3B872F0E"/>
    <w:rsid w:val="3BA64AD4"/>
    <w:rsid w:val="3BE66F96"/>
    <w:rsid w:val="3C6726A5"/>
    <w:rsid w:val="3C6D185F"/>
    <w:rsid w:val="3C88242C"/>
    <w:rsid w:val="3CE75344"/>
    <w:rsid w:val="3D08531B"/>
    <w:rsid w:val="3D0C4E0B"/>
    <w:rsid w:val="3D477BF1"/>
    <w:rsid w:val="3D874491"/>
    <w:rsid w:val="3E5D1F87"/>
    <w:rsid w:val="3EA27B76"/>
    <w:rsid w:val="3EE30904"/>
    <w:rsid w:val="3F634A8A"/>
    <w:rsid w:val="3F7B1DD4"/>
    <w:rsid w:val="3F896B4D"/>
    <w:rsid w:val="402D6EBB"/>
    <w:rsid w:val="40456E68"/>
    <w:rsid w:val="406E36E7"/>
    <w:rsid w:val="415974B4"/>
    <w:rsid w:val="419B050B"/>
    <w:rsid w:val="41B4781F"/>
    <w:rsid w:val="41E41EB2"/>
    <w:rsid w:val="41FC6472"/>
    <w:rsid w:val="420A743F"/>
    <w:rsid w:val="428C68DD"/>
    <w:rsid w:val="42DE0F83"/>
    <w:rsid w:val="43210EE4"/>
    <w:rsid w:val="44EC107E"/>
    <w:rsid w:val="44EE4DF6"/>
    <w:rsid w:val="44EF205A"/>
    <w:rsid w:val="44F131EB"/>
    <w:rsid w:val="451E392D"/>
    <w:rsid w:val="4535233C"/>
    <w:rsid w:val="45F64631"/>
    <w:rsid w:val="467B1B58"/>
    <w:rsid w:val="46A00372"/>
    <w:rsid w:val="46E102B1"/>
    <w:rsid w:val="46FD345D"/>
    <w:rsid w:val="471D19C3"/>
    <w:rsid w:val="47262732"/>
    <w:rsid w:val="47321912"/>
    <w:rsid w:val="4750669E"/>
    <w:rsid w:val="477D1965"/>
    <w:rsid w:val="478F466E"/>
    <w:rsid w:val="47905AAB"/>
    <w:rsid w:val="482C45B3"/>
    <w:rsid w:val="48D94409"/>
    <w:rsid w:val="48E31435"/>
    <w:rsid w:val="48F54D09"/>
    <w:rsid w:val="49025314"/>
    <w:rsid w:val="49255EC6"/>
    <w:rsid w:val="4983062C"/>
    <w:rsid w:val="4AAA3FE5"/>
    <w:rsid w:val="4ABC37FC"/>
    <w:rsid w:val="4B061CBF"/>
    <w:rsid w:val="4B27506D"/>
    <w:rsid w:val="4BA05466"/>
    <w:rsid w:val="4BAF3531"/>
    <w:rsid w:val="4BE156B5"/>
    <w:rsid w:val="4BE317F2"/>
    <w:rsid w:val="4C436EE2"/>
    <w:rsid w:val="4C5103C0"/>
    <w:rsid w:val="4C61249E"/>
    <w:rsid w:val="4C7D3512"/>
    <w:rsid w:val="4CA23096"/>
    <w:rsid w:val="4E165845"/>
    <w:rsid w:val="4E241889"/>
    <w:rsid w:val="4E5008D0"/>
    <w:rsid w:val="4E555EE6"/>
    <w:rsid w:val="4E8326E2"/>
    <w:rsid w:val="4F1A7F69"/>
    <w:rsid w:val="4F867008"/>
    <w:rsid w:val="4FA27A9E"/>
    <w:rsid w:val="503A2AB3"/>
    <w:rsid w:val="503C7A31"/>
    <w:rsid w:val="50871A17"/>
    <w:rsid w:val="508C2093"/>
    <w:rsid w:val="512A63E8"/>
    <w:rsid w:val="51DA6E2E"/>
    <w:rsid w:val="51E1159D"/>
    <w:rsid w:val="520D7203"/>
    <w:rsid w:val="52107C0D"/>
    <w:rsid w:val="521A3AF0"/>
    <w:rsid w:val="52522E68"/>
    <w:rsid w:val="52653390"/>
    <w:rsid w:val="52BC35D2"/>
    <w:rsid w:val="539F6241"/>
    <w:rsid w:val="53A45945"/>
    <w:rsid w:val="53B536AF"/>
    <w:rsid w:val="53CE29C2"/>
    <w:rsid w:val="53E54980"/>
    <w:rsid w:val="540E7263"/>
    <w:rsid w:val="54E3249D"/>
    <w:rsid w:val="559B28D5"/>
    <w:rsid w:val="55CE2806"/>
    <w:rsid w:val="55DE44AA"/>
    <w:rsid w:val="55E96905"/>
    <w:rsid w:val="561723FE"/>
    <w:rsid w:val="56186448"/>
    <w:rsid w:val="561C5C67"/>
    <w:rsid w:val="56244B1C"/>
    <w:rsid w:val="567B31AA"/>
    <w:rsid w:val="56DC661C"/>
    <w:rsid w:val="56EF447B"/>
    <w:rsid w:val="56F02C50"/>
    <w:rsid w:val="571D72F4"/>
    <w:rsid w:val="57240257"/>
    <w:rsid w:val="57377DC1"/>
    <w:rsid w:val="577218B7"/>
    <w:rsid w:val="580C0999"/>
    <w:rsid w:val="581A29EB"/>
    <w:rsid w:val="597638E0"/>
    <w:rsid w:val="59D321FD"/>
    <w:rsid w:val="5A4B65A5"/>
    <w:rsid w:val="5AA91045"/>
    <w:rsid w:val="5B2335F4"/>
    <w:rsid w:val="5B6B0AF7"/>
    <w:rsid w:val="5B922527"/>
    <w:rsid w:val="5C95442C"/>
    <w:rsid w:val="5CD6175A"/>
    <w:rsid w:val="5CDD44E6"/>
    <w:rsid w:val="5D151BCE"/>
    <w:rsid w:val="5DF94D60"/>
    <w:rsid w:val="5E0C65C1"/>
    <w:rsid w:val="5E40626B"/>
    <w:rsid w:val="5E543AC4"/>
    <w:rsid w:val="5E9D357E"/>
    <w:rsid w:val="5EB068CF"/>
    <w:rsid w:val="5EC55A14"/>
    <w:rsid w:val="5F5972BE"/>
    <w:rsid w:val="5FA665A1"/>
    <w:rsid w:val="5FDC428B"/>
    <w:rsid w:val="60251BBC"/>
    <w:rsid w:val="604D68E8"/>
    <w:rsid w:val="60847817"/>
    <w:rsid w:val="60BD3BA3"/>
    <w:rsid w:val="61961E64"/>
    <w:rsid w:val="61EE5FDE"/>
    <w:rsid w:val="61FE2C55"/>
    <w:rsid w:val="62037CDB"/>
    <w:rsid w:val="6280757E"/>
    <w:rsid w:val="62A25746"/>
    <w:rsid w:val="62E453D2"/>
    <w:rsid w:val="62E775FD"/>
    <w:rsid w:val="632048BD"/>
    <w:rsid w:val="63A92B04"/>
    <w:rsid w:val="64721148"/>
    <w:rsid w:val="648275DD"/>
    <w:rsid w:val="64A97101"/>
    <w:rsid w:val="65242740"/>
    <w:rsid w:val="65956E9C"/>
    <w:rsid w:val="65A20E0E"/>
    <w:rsid w:val="66721A27"/>
    <w:rsid w:val="668D2269"/>
    <w:rsid w:val="669863CA"/>
    <w:rsid w:val="66BC23BA"/>
    <w:rsid w:val="66C51A03"/>
    <w:rsid w:val="679C551D"/>
    <w:rsid w:val="681F3395"/>
    <w:rsid w:val="686B482C"/>
    <w:rsid w:val="689E42BA"/>
    <w:rsid w:val="68AE4433"/>
    <w:rsid w:val="68BC6E36"/>
    <w:rsid w:val="68EB4F55"/>
    <w:rsid w:val="6901105E"/>
    <w:rsid w:val="692138E1"/>
    <w:rsid w:val="69907886"/>
    <w:rsid w:val="69C75A92"/>
    <w:rsid w:val="69CF4947"/>
    <w:rsid w:val="6A08259C"/>
    <w:rsid w:val="6A5A0066"/>
    <w:rsid w:val="6AF1509D"/>
    <w:rsid w:val="6B0F32F3"/>
    <w:rsid w:val="6BAC7F32"/>
    <w:rsid w:val="6BFB1A23"/>
    <w:rsid w:val="6C2C42D2"/>
    <w:rsid w:val="6D1E00BF"/>
    <w:rsid w:val="6DF21E4A"/>
    <w:rsid w:val="6EE4625B"/>
    <w:rsid w:val="6F4D1371"/>
    <w:rsid w:val="6F502F09"/>
    <w:rsid w:val="6F8C6270"/>
    <w:rsid w:val="6FD131C7"/>
    <w:rsid w:val="6FFA6F31"/>
    <w:rsid w:val="70545BA6"/>
    <w:rsid w:val="708C5981"/>
    <w:rsid w:val="70CB230C"/>
    <w:rsid w:val="70E360BC"/>
    <w:rsid w:val="71B23690"/>
    <w:rsid w:val="72275320"/>
    <w:rsid w:val="72712A3F"/>
    <w:rsid w:val="7352461E"/>
    <w:rsid w:val="737563BC"/>
    <w:rsid w:val="73D6524F"/>
    <w:rsid w:val="73D90993"/>
    <w:rsid w:val="73E13BF4"/>
    <w:rsid w:val="743A56FA"/>
    <w:rsid w:val="74412187"/>
    <w:rsid w:val="74C44CDE"/>
    <w:rsid w:val="74C579C1"/>
    <w:rsid w:val="750176B5"/>
    <w:rsid w:val="750E6C6B"/>
    <w:rsid w:val="753614A2"/>
    <w:rsid w:val="7790315E"/>
    <w:rsid w:val="7796118C"/>
    <w:rsid w:val="77CF43F5"/>
    <w:rsid w:val="77ED2B68"/>
    <w:rsid w:val="78056103"/>
    <w:rsid w:val="78206438"/>
    <w:rsid w:val="79040228"/>
    <w:rsid w:val="79051038"/>
    <w:rsid w:val="79366790"/>
    <w:rsid w:val="7969375C"/>
    <w:rsid w:val="799204ED"/>
    <w:rsid w:val="79B81904"/>
    <w:rsid w:val="79B91911"/>
    <w:rsid w:val="7A2D1941"/>
    <w:rsid w:val="7A4D2F1A"/>
    <w:rsid w:val="7B1D332A"/>
    <w:rsid w:val="7B3665D4"/>
    <w:rsid w:val="7B655C4F"/>
    <w:rsid w:val="7B9854E0"/>
    <w:rsid w:val="7BCA41A5"/>
    <w:rsid w:val="7BD55E67"/>
    <w:rsid w:val="7BE67FFA"/>
    <w:rsid w:val="7BEB2BD6"/>
    <w:rsid w:val="7C5C70DD"/>
    <w:rsid w:val="7D126B53"/>
    <w:rsid w:val="7D437F80"/>
    <w:rsid w:val="7D7A3BB1"/>
    <w:rsid w:val="7D7B6E68"/>
    <w:rsid w:val="7DA77C5D"/>
    <w:rsid w:val="7E3E5553"/>
    <w:rsid w:val="7E631DD5"/>
    <w:rsid w:val="7E6B7EB7"/>
    <w:rsid w:val="7EA77F56"/>
    <w:rsid w:val="7EAA7E1D"/>
    <w:rsid w:val="7EBF4B32"/>
    <w:rsid w:val="7EC2367A"/>
    <w:rsid w:val="7EEA6053"/>
    <w:rsid w:val="7EEF5417"/>
    <w:rsid w:val="7F3231BE"/>
    <w:rsid w:val="7FFD79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3">
    <w:name w:val="heading 3"/>
    <w:basedOn w:val="1"/>
    <w:next w:val="1"/>
    <w:autoRedefine/>
    <w:unhideWhenUsed/>
    <w:qFormat/>
    <w:uiPriority w:val="9"/>
    <w:pPr>
      <w:keepNext/>
      <w:keepLines/>
      <w:spacing w:before="260" w:after="260" w:line="416" w:lineRule="auto"/>
      <w:outlineLvl w:val="2"/>
    </w:pPr>
    <w:rPr>
      <w:b/>
      <w:bCs/>
      <w:sz w:val="32"/>
      <w:szCs w:val="32"/>
    </w:rPr>
  </w:style>
  <w:style w:type="character" w:default="1" w:styleId="14">
    <w:name w:val="Default Paragraph Font"/>
    <w:autoRedefine/>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99"/>
    <w:pPr>
      <w:jc w:val="left"/>
    </w:pPr>
  </w:style>
  <w:style w:type="paragraph" w:styleId="5">
    <w:name w:val="Body Text"/>
    <w:basedOn w:val="1"/>
    <w:qFormat/>
    <w:uiPriority w:val="1"/>
    <w:pPr>
      <w:ind w:left="118"/>
    </w:pPr>
    <w:rPr>
      <w:rFonts w:ascii="仿宋" w:hAnsi="仿宋" w:eastAsia="仿宋" w:cs="仿宋"/>
      <w:sz w:val="28"/>
      <w:szCs w:val="28"/>
      <w:lang w:val="zh-CN" w:eastAsia="zh-CN" w:bidi="zh-CN"/>
    </w:rPr>
  </w:style>
  <w:style w:type="paragraph" w:styleId="6">
    <w:name w:val="Plain Text"/>
    <w:basedOn w:val="1"/>
    <w:qFormat/>
    <w:uiPriority w:val="0"/>
    <w:rPr>
      <w:rFonts w:ascii="宋体" w:hAnsi="Courier New" w:eastAsia="宋体"/>
      <w:szCs w:val="21"/>
    </w:rPr>
  </w:style>
  <w:style w:type="paragraph" w:styleId="7">
    <w:name w:val="Date"/>
    <w:basedOn w:val="1"/>
    <w:next w:val="1"/>
    <w:link w:val="20"/>
    <w:autoRedefine/>
    <w:unhideWhenUsed/>
    <w:qFormat/>
    <w:uiPriority w:val="99"/>
    <w:pPr>
      <w:ind w:left="100" w:leftChars="2500"/>
    </w:pPr>
  </w:style>
  <w:style w:type="paragraph" w:styleId="8">
    <w:name w:val="Balloon Text"/>
    <w:basedOn w:val="1"/>
    <w:link w:val="21"/>
    <w:autoRedefine/>
    <w:unhideWhenUsed/>
    <w:qFormat/>
    <w:uiPriority w:val="99"/>
    <w:rPr>
      <w:sz w:val="18"/>
      <w:szCs w:val="18"/>
    </w:rPr>
  </w:style>
  <w:style w:type="paragraph" w:styleId="9">
    <w:name w:val="footer"/>
    <w:basedOn w:val="1"/>
    <w:link w:val="19"/>
    <w:autoRedefine/>
    <w:unhideWhenUsed/>
    <w:qFormat/>
    <w:uiPriority w:val="99"/>
    <w:pPr>
      <w:tabs>
        <w:tab w:val="center" w:pos="4153"/>
        <w:tab w:val="right" w:pos="8306"/>
      </w:tabs>
      <w:snapToGrid w:val="0"/>
      <w:jc w:val="left"/>
    </w:pPr>
    <w:rPr>
      <w:sz w:val="18"/>
      <w:szCs w:val="18"/>
    </w:rPr>
  </w:style>
  <w:style w:type="paragraph" w:styleId="10">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13">
    <w:name w:val="Table Grid"/>
    <w:basedOn w:val="12"/>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autoRedefine/>
    <w:qFormat/>
    <w:uiPriority w:val="0"/>
    <w:rPr>
      <w:b/>
    </w:rPr>
  </w:style>
  <w:style w:type="character" w:styleId="16">
    <w:name w:val="page number"/>
    <w:basedOn w:val="14"/>
    <w:autoRedefine/>
    <w:qFormat/>
    <w:uiPriority w:val="0"/>
  </w:style>
  <w:style w:type="character" w:styleId="17">
    <w:name w:val="Hyperlink"/>
    <w:basedOn w:val="14"/>
    <w:autoRedefine/>
    <w:unhideWhenUsed/>
    <w:qFormat/>
    <w:uiPriority w:val="99"/>
    <w:rPr>
      <w:color w:val="0563C1" w:themeColor="hyperlink"/>
      <w:u w:val="single"/>
      <w14:textFill>
        <w14:solidFill>
          <w14:schemeClr w14:val="hlink"/>
        </w14:solidFill>
      </w14:textFill>
    </w:rPr>
  </w:style>
  <w:style w:type="character" w:customStyle="1" w:styleId="18">
    <w:name w:val="页眉 字符"/>
    <w:basedOn w:val="14"/>
    <w:link w:val="10"/>
    <w:autoRedefine/>
    <w:qFormat/>
    <w:uiPriority w:val="99"/>
    <w:rPr>
      <w:sz w:val="18"/>
      <w:szCs w:val="18"/>
    </w:rPr>
  </w:style>
  <w:style w:type="character" w:customStyle="1" w:styleId="19">
    <w:name w:val="页脚 字符"/>
    <w:basedOn w:val="14"/>
    <w:link w:val="9"/>
    <w:autoRedefine/>
    <w:qFormat/>
    <w:uiPriority w:val="99"/>
    <w:rPr>
      <w:sz w:val="18"/>
      <w:szCs w:val="18"/>
    </w:rPr>
  </w:style>
  <w:style w:type="character" w:customStyle="1" w:styleId="20">
    <w:name w:val="日期 字符"/>
    <w:basedOn w:val="14"/>
    <w:link w:val="7"/>
    <w:autoRedefine/>
    <w:semiHidden/>
    <w:qFormat/>
    <w:uiPriority w:val="99"/>
  </w:style>
  <w:style w:type="character" w:customStyle="1" w:styleId="21">
    <w:name w:val="批注框文本 字符"/>
    <w:basedOn w:val="14"/>
    <w:link w:val="8"/>
    <w:autoRedefine/>
    <w:semiHidden/>
    <w:qFormat/>
    <w:uiPriority w:val="99"/>
    <w:rPr>
      <w:kern w:val="2"/>
      <w:sz w:val="18"/>
      <w:szCs w:val="18"/>
    </w:rPr>
  </w:style>
  <w:style w:type="character" w:customStyle="1" w:styleId="22">
    <w:name w:val="标题 1 字符"/>
    <w:basedOn w:val="14"/>
    <w:link w:val="2"/>
    <w:autoRedefine/>
    <w:qFormat/>
    <w:uiPriority w:val="9"/>
    <w:rPr>
      <w:b/>
      <w:bCs/>
      <w:kern w:val="44"/>
      <w:sz w:val="44"/>
      <w:szCs w:val="44"/>
    </w:rPr>
  </w:style>
  <w:style w:type="character" w:customStyle="1" w:styleId="23">
    <w:name w:val="未处理的提及1"/>
    <w:basedOn w:val="14"/>
    <w:autoRedefine/>
    <w:semiHidden/>
    <w:unhideWhenUsed/>
    <w:qFormat/>
    <w:uiPriority w:val="99"/>
    <w:rPr>
      <w:color w:val="605E5C"/>
      <w:shd w:val="clear" w:color="auto" w:fill="E1DFDD"/>
    </w:rPr>
  </w:style>
  <w:style w:type="paragraph" w:styleId="24">
    <w:name w:val="List Paragraph"/>
    <w:basedOn w:val="1"/>
    <w:qFormat/>
    <w:uiPriority w:val="1"/>
    <w:pPr>
      <w:ind w:left="118" w:firstLine="561"/>
      <w:jc w:val="both"/>
    </w:pPr>
    <w:rPr>
      <w:rFonts w:ascii="仿宋" w:hAnsi="仿宋" w:eastAsia="仿宋" w:cs="仿宋"/>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8987eb68-d578-46f0-8ced-1cf9ad01e6dd</errorID>
      <errorWord>替换成</errorWord>
      <group>L1_Grammar</group>
      <groupName>语法问题</groupName>
      <ability>L2_Grammar</ability>
      <abilityName>语法错误</abilityName>
      <candidateList>
        <item>，将纸质版替换成</item>
      </candidateList>
      <explain/>
      <paraID>7B190E8C</paraID>
      <start>9</start>
      <end>12</end>
      <status>ignored</status>
      <modifiedWord/>
      <trackRevisions>false</trackRevisions>
    </reviewItem>
    <reviewItem>
      <errorID>c0fa754a-3e5f-41cc-a8fb-90079c580631</errorID>
      <errorWord>“;</errorWord>
      <group>L1_Punc</group>
      <groupName>标点问题</groupName>
      <ability>L2_Punc_CN</ability>
      <abilityName>标点符号问题</abilityName>
      <candidateList>
        <item>“</item>
      </candidateList>
      <explain/>
      <paraID> 3391C79</paraID>
      <start>32</start>
      <end>34</end>
      <status>ignored</status>
      <modifiedWord/>
      <trackRevisions>false</trackRevisions>
    </reviewItem>
    <reviewItem>
      <errorID>75a9dbc2-8a57-4a4f-ad2b-ccf7fde22784</errorID>
      <errorWord>“;</errorWord>
      <group>L1_Punc</group>
      <groupName>标点问题</groupName>
      <ability>L2_Punc_CN</ability>
      <abilityName>标点符号问题</abilityName>
      <candidateList>
        <item>“</item>
      </candidateList>
      <explain/>
      <paraID>25892DAA</paraID>
      <start>30</start>
      <end>32</end>
      <status>ignored</status>
      <modifiedWord/>
      <trackRevisions>false</trackRevisions>
    </reviewItem>
    <reviewItem>
      <errorID>9a8f6a1f-4e18-4738-9fab-1ed9af5872c8</errorID>
      <errorWord>“;</errorWord>
      <group>L1_Punc</group>
      <groupName>标点问题</groupName>
      <ability>L2_Punc_CN</ability>
      <abilityName>标点符号问题</abilityName>
      <candidateList>
        <item>“</item>
      </candidateList>
      <explain/>
      <paraID>4A46BF02</paraID>
      <start>8</start>
      <end>10</end>
      <status>ignored</status>
      <modifiedWord/>
      <trackRevisions>false</trackRevisions>
    </reviewItem>
    <reviewItem>
      <errorID>4efece74-3373-4eee-8ba0-1fbcb55152cc</errorID>
      <errorWord>)</errorWord>
      <group>L1_Format</group>
      <groupName>格式问题</groupName>
      <ability>L2_HalfPunc_CN</ability>
      <abilityName>全半角问题</abilityName>
      <candidateList>
        <item>）</item>
      </candidateList>
      <explain>文本全半角错误。</explain>
      <paraID>51D8A4C2</paraID>
      <start>5</start>
      <end>6</end>
      <status>ignored</status>
      <modifiedWord/>
      <trackRevisions>false</trackRevisions>
    </reviewItem>
    <reviewItem>
      <errorID>caacc2da-8d8d-43dc-a68c-4b5d31d51b9a</errorID>
      <errorWord> </errorWord>
      <group>L1_Punc</group>
      <groupName>标点问题</groupName>
      <ability>L2_Punc_CN</ability>
      <abilityName>标点符号问题</abilityName>
      <candidateList>
        <item/>
      </candidateList>
      <explain>此处空格冗余，建议删除。</explain>
      <paraID>742D5F4C</paraID>
      <start>1</start>
      <end>2</end>
      <status>ignored</status>
      <modifiedWord/>
      <trackRevisions>false</trackRevisions>
    </reviewItem>
    <reviewItem>
      <errorID>5721f3fe-320f-4c15-ad85-e247d229f8ad</errorID>
      <errorWord>（</errorWord>
      <group>L1_Punc</group>
      <groupName>标点问题</groupName>
      <ability>L2_Punc_CN</ability>
      <abilityName>标点符号问题</abilityName>
      <candidateList/>
      <explain>同一形式括号套用。</explain>
      <paraID> BBF3780</paraID>
      <start>36</start>
      <end>37</end>
      <status>ignored</status>
      <modifiedWord/>
      <trackRevisions>false</trackRevisions>
    </reviewItem>
    <reviewItem>
      <errorID>242b0ab8-7c0b-48fd-8728-945d455da933</errorID>
      <errorWord>）</errorWord>
      <group>L1_Punc</group>
      <groupName>标点问题</groupName>
      <ability>L2_Punc_CN</ability>
      <abilityName>标点符号问题</abilityName>
      <candidateList/>
      <explain>同一形式括号套用。</explain>
      <paraID> BBF3780</paraID>
      <start>47</start>
      <end>48</end>
      <status>ignored</status>
      <modifiedWord/>
      <trackRevisions>false</trackRevisions>
    </reviewItem>
    <reviewItem>
      <errorID>f7c99451-7a98-4f1e-a00b-a1ea24812178</errorID>
      <errorWord>（</errorWord>
      <group>L1_Punc</group>
      <groupName>标点问题</groupName>
      <ability>L2_Punc_CN</ability>
      <abilityName>标点符号问题</abilityName>
      <candidateList/>
      <explain>同一形式括号套用。</explain>
      <paraID>14C1C9D9</paraID>
      <start>36</start>
      <end>37</end>
      <status>ignored</status>
      <modifiedWord/>
      <trackRevisions>false</trackRevisions>
    </reviewItem>
    <reviewItem>
      <errorID>bc06752d-e705-4e1c-98e8-2cf6a0e03eb1</errorID>
      <errorWord>）</errorWord>
      <group>L1_Punc</group>
      <groupName>标点问题</groupName>
      <ability>L2_Punc_CN</ability>
      <abilityName>标点符号问题</abilityName>
      <candidateList/>
      <explain>同一形式括号套用。</explain>
      <paraID>14C1C9D9</paraID>
      <start>47</start>
      <end>48</end>
      <status>ignored</status>
      <modifiedWord/>
      <trackRevisions>false</trackRevisions>
    </reviewItem>
    <reviewItem>
      <errorID>c53ba3b6-f4a6-4876-9cef-8b9a7b10c50f</errorID>
      <errorWord>（</errorWord>
      <group>L1_Punc</group>
      <groupName>标点问题</groupName>
      <ability>L2_Punc_CN</ability>
      <abilityName>标点符号问题</abilityName>
      <candidateList/>
      <explain>同一形式括号套用。</explain>
      <paraID>3B92F579</paraID>
      <start>36</start>
      <end>37</end>
      <status>ignored</status>
      <modifiedWord/>
      <trackRevisions>false</trackRevisions>
    </reviewItem>
    <reviewItem>
      <errorID>e5c9074e-e219-4d07-be5c-61ba602199b1</errorID>
      <errorWord>）</errorWord>
      <group>L1_Punc</group>
      <groupName>标点问题</groupName>
      <ability>L2_Punc_CN</ability>
      <abilityName>标点符号问题</abilityName>
      <candidateList/>
      <explain>同一形式括号套用。</explain>
      <paraID>3B92F579</paraID>
      <start>47</start>
      <end>48</end>
      <status>ignored</status>
      <modifiedWord/>
      <trackRevisions>false</trackRevisions>
    </reviewItem>
    <reviewItem>
      <errorID>37ba3f81-3fce-4866-a4f0-f55c9a5e65b6</errorID>
      <errorWord>《广东省质量协会质量技术奖申报书》（以下简称申报书）</errorWord>
      <group>L1_Knowledge</group>
      <groupName>知识性问题</groupName>
      <ability>L2_Knowledge</ability>
      <abilityName>其他知识</abilityName>
      <candidateList>
        <item>《广东省质量协会质量技术奖申报书》（以下简称“申报书”）</item>
      </candidateList>
      <explain>疑似政策文件、法律法规名称等书写不规范，请注意检查。</explain>
      <paraID>181685A0</paraID>
      <start>0</start>
      <end>28</end>
      <status>modified</status>
      <modifiedWord>《广东省质量协会质量技术奖申报书》（以下简称“申报书”）</modifiedWord>
      <trackRevisions>false</trackRevisions>
    </reviewItem>
    <reviewItem>
      <errorID>955722d2-4672-4e97-babd-c982b1c0fcf5</errorID>
      <errorWord>依据来源</errorWord>
      <group>L1_Grammar</group>
      <groupName>语法问题</groupName>
      <ability>L2_Grammar</ability>
      <abilityName>语法错误</abilityName>
      <candidateList>
        <item>依据</item>
      </candidateList>
      <explain/>
      <paraID>181685A0</paraID>
      <start>92</start>
      <end>94</end>
      <status>modified</status>
      <modifiedWord>依据</modifiedWord>
      <trackRevisions>false</trackRevisions>
    </reviewItem>
    <reviewItem>
      <errorID>df741180-f3bc-4aef-ad63-0cbdfa8d2a70</errorID>
      <errorWord>）</errorWord>
      <group>L1_Punc</group>
      <groupName>标点问题</groupName>
      <ability>L2_Punc_CN</ability>
      <abilityName>标点符号问题</abilityName>
      <candidateList>
        <item/>
      </candidateList>
      <explain/>
      <paraID>39999155</paraID>
      <start>26</start>
      <end>27</end>
      <status>ignored</status>
      <modifiedWord/>
      <trackRevisions>false</trackRevisions>
    </reviewItem>
    <reviewItem>
      <errorID>c82396b8-9c3a-455c-ab68-f9647c9c6526</errorID>
      <errorWord> </errorWord>
      <group>L1_Punc</group>
      <groupName>标点问题</groupName>
      <ability>L2_Punc_CN</ability>
      <abilityName>标点符号问题</abilityName>
      <candidateList>
        <item>：</item>
      </candidateList>
      <explain/>
      <paraID>6B4A865A</paraID>
      <start>6</start>
      <end>7</end>
      <status>ignored</status>
      <modifiedWord/>
      <trackRevisions>false</trackRevisions>
    </reviewItem>
    <reviewItem>
      <errorID>b7a40392-397e-4268-b649-a5762d86062f</errorID>
      <errorWord>可以相应</errorWord>
      <group>L1_Grammar</group>
      <groupName>语法问题</groupName>
      <ability>L2_Grammar</ability>
      <abilityName>语法错误</abilityName>
      <candidateList>
        <item>可</item>
      </candidateList>
      <explain/>
      <paraID>6B4A865A</paraID>
      <start>59</start>
      <end>60</end>
      <status>modified</status>
      <modifiedWord>可</modifiedWord>
      <trackRevisions>false</trackRevisions>
    </reviewItem>
    <reviewItem>
      <errorID>f465cd3f-1632-4034-a783-eeeabb054469</errorID>
      <errorWord>“；</errorWord>
      <group>L1_Punc</group>
      <groupName>标点问题</groupName>
      <ability>L2_Punc_CN</ability>
      <abilityName>标点符号问题</abilityName>
      <candidateList>
        <item>“</item>
      </candidateList>
      <explain/>
      <paraID>5E455153</paraID>
      <start>45</start>
      <end>47</end>
      <status>unmodified</status>
      <modifiedWord/>
      <trackRevisions>false</trackRevisions>
    </reviewItem>
    <reviewItem>
      <errorID>a22f5a1b-1097-4b52-aaee-ddccf5d88f8e</errorID>
      <errorWord>主要的</errorWord>
      <group>L1_Word</group>
      <groupName>字词问题</groupName>
      <ability>L2_Typo</ability>
      <abilityName>字词错误</abilityName>
      <candidateList>
        <item>主要</item>
      </candidateList>
      <explain/>
      <paraID>19CBC2EF</paraID>
      <start>33</start>
      <end>35</end>
      <status>modified</status>
      <modifiedWord>主要</modifiedWord>
      <trackRevisions>false</trackRevisions>
    </reviewItem>
    <reviewItem>
      <errorID>176b2eb6-6b9e-4694-bbf0-619ff1b44492</errorID>
      <errorWord>，</errorWord>
      <group>L1_Punc</group>
      <groupName>标点问题</groupName>
      <ability>L2_Punc_CN</ability>
      <abilityName>标点符号问题</abilityName>
      <candidateList>
        <item>、</item>
      </candidateList>
      <explain/>
      <paraID>2A293DF1</paraID>
      <start>31</start>
      <end>32</end>
      <status>modified</status>
      <modifiedWord>、</modifiedWord>
      <trackRevisions>false</trackRevisions>
    </reviewItem>
    <reviewItem>
      <errorID>9d636669-793d-4c15-b44f-1e904e40e9ca</errorID>
      <errorWord>有</errorWord>
      <group>L1_Word</group>
      <groupName>字词问题</groupName>
      <ability>L2_Typo</ability>
      <abilityName>字词错误</abilityName>
      <candidateList>
        <item>要有</item>
      </candidateList>
      <explain/>
      <paraID> 15F93E2</paraID>
      <start>79</start>
      <end>81</end>
      <status>modified</status>
      <modifiedWord>要有</modifiedWord>
      <trackRevisions>false</trackRevisions>
    </reviewItem>
    <reviewItem>
      <errorID>6da08c00-6b81-493c-a068-db6ebc69a410</errorID>
      <errorWord>，以及</errorWord>
      <group>L1_Grammar</group>
      <groupName>语法问题</groupName>
      <ability>L2_Grammar</ability>
      <abilityName>语法错误</abilityName>
      <candidateList>
        <item>，</item>
      </candidateList>
      <explain/>
      <paraID>52F6FB8F</paraID>
      <start>80</start>
      <end>81</end>
      <status>modified</status>
      <modifiedWord>，</modifiedWord>
      <trackRevisions>false</trackRevisions>
    </reviewItem>
    <reviewItem>
      <errorID>3a6b7885-16cf-46e2-9013-ba840a3505d8</errorID>
      <errorWord>，</errorWord>
      <group>L1_Punc</group>
      <groupName>标点问题</groupName>
      <ability>L2_Punc_CN</ability>
      <abilityName>标点符号问题</abilityName>
      <candidateList>
        <item>、</item>
      </candidateList>
      <explain/>
      <paraID>52F6FB8F</paraID>
      <start>91</start>
      <end>92</end>
      <status>modified</status>
      <modifiedWord>、</modifiedWord>
      <trackRevisions>false</trackRevisions>
    </reviewItem>
    <reviewItem>
      <errorID>c99cb2ea-9712-494e-88e7-97b44ba85e23</errorID>
      <errorWord>，</errorWord>
      <group>L1_Punc</group>
      <groupName>标点问题</groupName>
      <ability>L2_Punc_CN</ability>
      <abilityName>标点符号问题</abilityName>
      <candidateList>
        <item>、</item>
      </candidateList>
      <explain/>
      <paraID>52F6FB8F</paraID>
      <start>99</start>
      <end>100</end>
      <status>modified</status>
      <modifiedWord>、</modifiedWord>
      <trackRevisions>false</trackRevisions>
    </reviewItem>
    <reviewItem>
      <errorID>2e2eade4-b021-46e6-b5fd-6f126569009f</errorID>
      <errorWord>项目在</errorWord>
      <group>L1_Word</group>
      <groupName>字词问题</groupName>
      <ability>L2_Typo</ability>
      <abilityName>字词错误</abilityName>
      <candidateList>
        <item>项目</item>
      </candidateList>
      <explain/>
      <paraID>52F6FB8F</paraID>
      <start>117</start>
      <end>119</end>
      <status>modified</status>
      <modifiedWord>项目</modifiedWord>
      <trackRevisions>false</trackRevisions>
    </reviewItem>
    <reviewItem>
      <errorID>98203ace-2a32-4d75-8d85-c51d8ebccaa6</errorID>
      <errorWord>一般应</errorWord>
      <group>L1_Word</group>
      <groupName>字词问题</groupName>
      <ability>L2_Typo</ability>
      <abilityName>字词错误</abilityName>
      <candidateList>
        <item>一般</item>
      </candidateList>
      <explain/>
      <paraID>347D3232</paraID>
      <start>9</start>
      <end>11</end>
      <status>modified</status>
      <modifiedWord>一般</modifiedWord>
      <trackRevisions>false</trackRevisions>
    </reviewItem>
    <reviewItem>
      <errorID>4982d026-1e3c-4d64-854e-2b92286d8c5c</errorID>
      <errorWord>，</errorWord>
      <group>L1_Punc</group>
      <groupName>标点问题</groupName>
      <ability>L2_Punc_CN</ability>
      <abilityName>标点符号问题</abilityName>
      <candidateList>
        <item>、</item>
      </candidateList>
      <explain/>
      <paraID>3E110B28</paraID>
      <start>32</start>
      <end>33</end>
      <status>modified</status>
      <modifiedWord>、</modifiedWord>
      <trackRevisions>false</trackRevisions>
    </reviewItem>
    <reviewItem>
      <errorID>bf549358-ce69-4aaa-930c-790339762d0e</errorID>
      <errorWord>练</errorWord>
      <group>L1_Word</group>
      <groupName>字词问题</groupName>
      <ability>L2_Typo</ability>
      <abilityName>字词错误</abilityName>
      <candidateList>
        <item>提炼</item>
      </candidateList>
      <explain/>
      <paraID>3E110B28</paraID>
      <start>68</start>
      <end>70</end>
      <status>modified</status>
      <modifiedWord>提炼</modifiedWord>
      <trackRevisions>false</trackRevisions>
    </reviewItem>
    <reviewItem>
      <errorID>27adf0f3-4211-40b8-af04-d3a33a5071f9</errorID>
      <errorWord>人</errorWord>
      <group>L1_Word</group>
      <groupName>字词问题</groupName>
      <ability>L2_Typo</ability>
      <abilityName>字词错误</abilityName>
      <candidateList>
        <item>人才</item>
      </candidateList>
      <explain/>
      <paraID>1BD349DD</paraID>
      <start>52</start>
      <end>53</end>
      <status>unmodified</status>
      <modifiedWord/>
      <trackRevisions>false</trackRevisions>
    </reviewItem>
    <reviewItem>
      <errorID>74f39111-3772-457b-8596-514a65e6efaa</errorID>
      <errorWord>，</errorWord>
      <group>L1_Grammar</group>
      <groupName>语法问题</groupName>
      <ability>L2_Grammar</ability>
      <abilityName>语法错误</abilityName>
      <candidateList>
        <item>或组织，</item>
      </candidateList>
      <explain/>
      <paraID>55F6D2C5</paraID>
      <start>26</start>
      <end>27</end>
      <status>ignored</status>
      <modifiedWord/>
      <trackRevisions>false</trackRevisions>
    </reviewItem>
    <reviewItem>
      <errorID>d7ee178d-90d9-4556-89b0-176d1cf5decc</errorID>
      <errorWord>要求授予</errorWord>
      <group>L1_Grammar</group>
      <groupName>语法问题</groupName>
      <ability>L2_Grammar</ability>
      <abilityName>语法错误</abilityName>
      <candidateList>
        <item>授予</item>
      </candidateList>
      <explain/>
      <paraID>75D106D1</paraID>
      <start>22</start>
      <end>26</end>
      <status>ignored</status>
      <modifiedWord/>
      <trackRevisions>false</trackRevisions>
    </reviewItem>
    <reviewItem>
      <errorID>7a925a04-e87e-4e30-a94a-1b3df03572b1</errorID>
      <errorWord>由项目</errorWord>
      <group>L1_Grammar</group>
      <groupName>语法问题</groupName>
      <ability>L2_Grammar</ability>
      <abilityName>语法错误</abilityName>
      <candidateList>
        <item>由</item>
      </candidateList>
      <explain/>
      <paraID>4B84E950</paraID>
      <start>38</start>
      <end>41</end>
      <status>unmodified</status>
      <modifiedWord/>
      <trackRevisions>false</trackRevisions>
    </reviewItem>
    <reviewItem>
      <errorID>15dc3957-abea-4006-91cd-8c30b5b26300</errorID>
      <errorWord>以</errorWord>
      <group>L1_Word</group>
      <groupName>字词问题</groupName>
      <ability>L2_Typo</ability>
      <abilityName>字词错误</abilityName>
      <candidateList>
        <item>本着</item>
      </candidateList>
      <explain/>
      <paraID>74EE98A4</paraID>
      <start>5</start>
      <end>6</end>
      <status>unmodified</status>
      <modifiedWord/>
      <trackRevisions>false</trackRevisions>
    </reviewItem>
    <reviewItem>
      <errorID>f9e7d93b-ff7b-4462-b8bb-545069341b83</errorID>
      <errorWord>和</errorWord>
      <group>L1_Word</group>
      <groupName>字词问题</groupName>
      <ability>L2_Typo</ability>
      <abilityName>字词错误</abilityName>
      <candidateList>
        <item>并</item>
      </candidateList>
      <explain/>
      <paraID>74EE98A4</paraID>
      <start>18</start>
      <end>19</end>
      <status>unmodified</status>
      <modifiedWord/>
      <trackRevisions>false</trackRevisions>
    </reviewItem>
    <reviewItem>
      <errorID>185c549b-9c08-4eec-8cfd-5355f86ad21a</errorID>
      <errorWord>提交</errorWord>
      <group>L1_Grammar</group>
      <groupName>语法问题</groupName>
      <ability>L2_Grammar</ability>
      <abilityName>语法错误</abilityName>
      <candidateList>
        <item>予以提交</item>
      </candidateList>
      <explain/>
      <paraID>35C05641</paraID>
      <start>76</start>
      <end>78</end>
      <status>unmodified</status>
      <modifiedWord/>
      <trackRevisions>false</trackRevisions>
    </reviewItem>
  </reviewItems>
  <config/>
</contractReview>
</file>

<file path=customXml/itemProps1.xml><?xml version="1.0" encoding="utf-8"?>
<ds:datastoreItem xmlns:ds="http://schemas.openxmlformats.org/officeDocument/2006/customXml" ds:itemID="{6b33d2c0-4ceb-42e9-861f-4fc526421c47}">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11392</Words>
  <Characters>11709</Characters>
  <Lines>36</Lines>
  <Paragraphs>10</Paragraphs>
  <TotalTime>43</TotalTime>
  <ScaleCrop>false</ScaleCrop>
  <LinksUpToDate>false</LinksUpToDate>
  <CharactersWithSpaces>12054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2021-04-06T08:12:00Z</dcterms:created>
  <dc:creator>admin</dc:creator>
  <cp:lastModifiedBy>嘉kakai祺</cp:lastModifiedBy>
  <cp:lastPrinted>2026-09-14T03:31:44Z</cp:lastPrinted>
  <dcterms:modified xsi:type="dcterms:W3CDTF">2026-09-14T03:39:33Z</dcterms:modified>
  <dc:title>关于组织开展广东省“质量标杆”活动的通知</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79CD474651CF44DE91DCA43318EAF55B_13</vt:lpwstr>
  </property>
  <property fmtid="{D5CDD505-2E9C-101B-9397-08002B2CF9AE}" pid="4" name="KSOTemplateDocerSaveRecord">
    <vt:lpwstr>eyJoZGlkIjoiMGRmODhlMjRjZGJhOGFmNDQ3ZmExMzNjMGU4ZjI1YjIiLCJ1c2VySWQiOiI0NDc1MzIxIn0=</vt:lpwstr>
  </property>
</Properties>
</file>