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  <w:lang w:val="en-US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2021年广东省实施卓越绩效先进组织名单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（排名不分先后）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15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广东省实施卓越绩效先进组织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</w:t>
      </w:r>
      <w:bookmarkStart w:id="0" w:name="_GoBack"/>
      <w:r>
        <w:rPr>
          <w:rFonts w:hint="eastAsia" w:ascii="仿宋" w:hAnsi="仿宋" w:eastAsia="仿宋" w:cs="仿宋"/>
          <w:sz w:val="30"/>
          <w:szCs w:val="30"/>
        </w:rPr>
        <w:t xml:space="preserve"> </w:t>
      </w:r>
      <w:bookmarkEnd w:id="0"/>
      <w:r>
        <w:rPr>
          <w:rFonts w:hint="eastAsia" w:ascii="仿宋" w:hAnsi="仿宋" w:eastAsia="仿宋" w:cs="仿宋"/>
          <w:sz w:val="30"/>
          <w:szCs w:val="30"/>
        </w:rPr>
        <w:t>惠州市德赛西威汽车电子股份有限公司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广东铭建建设工程有限公司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广东省基础工程集团有限公司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广州白云山中一药业有限公司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广东晟沛建设有限公司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中国核工业二三建设有限公司台山项目部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中建二局装饰工程有限公司深圳分公司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广州市盾建建设有限公司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广东省水利水电第三工程局有限公司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珠海凯邦电机制造有限公司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广州白云山陈李济药厂有限公司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广东森濠建设有限公司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广州珠江钢琴集团股份有限公司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广州华南船舶修造厂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广州医药集团有限公司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广东国盾特卫保安集团有限公司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佛山市鼎垣工程有限公司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乳源瑶族自治县东阳光高纯新材料有限公司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华川建设集团有限公司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广东新合铝业新兴有限公司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广州坚磊建设有限公司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珠海乾弘智劲科技有限公司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广东恒立基建设工程有限公司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广东韶钢松山股份有限公司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中移互联网有限公司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50" w:firstLineChars="45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广东天波信息技术股份有限公司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A3758"/>
    <w:rsid w:val="2A421B4D"/>
    <w:rsid w:val="6F0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2021-12-17T09:07:00Z</dcterms:created>
  <dc:creator>lai</dc:creator>
  <cp:lastModifiedBy>小倩</cp:lastModifiedBy>
  <dcterms:modified xsi:type="dcterms:W3CDTF">2021-12-17T12:40:41Z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E93D94246FFF43CDB964295D30227096</vt:lpwstr>
  </property>
</Properties>
</file>